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Chatham Lodging Trust</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of Beneficial Interest,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Sculptor Real Estate Advisors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Sculptor Real Estate Advisors LP ("Sculptor RE") a Delaware limited partnership, is the principal investment manager to a number of private funds and discretionary accounts (collectively, the "Accounts").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Sculptor Real Estate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Sculptor Real Estate GP LLC ("Sculptor RE GP"), a Delaware limited liability company is the general partner of Sculptor RE.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Sculptor Capital Holding Corp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Sculptor Capital Holding Corporation ("SCHC"), a Delaware corporation, serves as the general partner of Sculptor.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Sculptor Capital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Sculptor Capital LP ("Sculptor"), a Delaware limited partnership is the sole shareholder of Sculptor RE GP.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Sculptor Capital Management, Inc.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Sculptor Capital Management, Inc. ("SCU"), a Delaware limited liability company, is a holding company that is the sole shareholder of SCHC and the ultimate parent company of Sculptor.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Sculptor Real Estate Fund V,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Sculptor Real Estate Fund V, LP is a Cayman Islands company. Sculptor RE is the investment adviser to Sculptor Real Estate Fund V,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Chatham Lodging Trust</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222 Lakeview Avenue, Suite 200, West Palm Beach, FL 33401</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Sculptor Capital LP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9 West 57th Street, 40th Floor, New York, NY 10019</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of Beneficial Interest, $0.01 par value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Sculptor RE serves as the principal investment manager to the Accounts and thus may be deemed beneficial owner of the Common Shares in the Accounts managed by Sculptor RE. Sculptor RE GP serves as the sole general partner of Sculptor RE and is wholly owned by Sculptor and thus Sculptor RE GP and Sculptor may be deemed beneficial owners of the Common Shares reported in this Schedule 13G. SCHC serves as the sole general partner of Sculptor. As such, SCHC may be deemed to control Sculptor and, therefore, may be deemed to be the beneficial owners of the Common Shares reported in this Schedule 13G. SCU is the sole shareholder of SCHC, and, for purposes of this Schedule 13G, may be deemed a beneficial owner of the Common Shares reported herein. In accordance with SEC Release No. 34-39538 (January 12, 1998) (the "Release"), this Schedule 13G reflects the securities beneficially owned, or deemed to be beneficially owned, by certain business units (collectively, the "Reporting Business Units") of Sculptor and its subsidiaries and affiliates. It does not include securities, if any, beneficially owned by other business units whose beneficial ownership of securities are disaggregated from that of the Reporting Business Units in accordance with the Release. The percentages reported in this Schedule 13G have been calculated based on 46,565,614 Common Shares of Beneficial Interest outstanding, as set forth in the Issuer's 10-Q filed August 4th, 2026.</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Item 6</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Sculptor Real Estate Advisors LP</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1"/>
        <w:gridCol w:w="4324"/>
      </w:tblGrid>
      <w:tr>
        <w:trPr/>
        <w:tc>
          <w:tcPr>
            <w:tcW w:w="58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Wayne Cohen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Wayne Cohen /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Sculptor Real Estate GP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1"/>
        <w:gridCol w:w="4324"/>
      </w:tblGrid>
      <w:tr>
        <w:trPr/>
        <w:tc>
          <w:tcPr>
            <w:tcW w:w="58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Wayne Cohen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Wayne Cohen /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Sculptor Capital Holding Corp</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1"/>
        <w:gridCol w:w="4324"/>
      </w:tblGrid>
      <w:tr>
        <w:trPr/>
        <w:tc>
          <w:tcPr>
            <w:tcW w:w="58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Wayne Cohen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Wayne Cohen /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Sculptor Capital LP</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1"/>
        <w:gridCol w:w="4324"/>
      </w:tblGrid>
      <w:tr>
        <w:trPr/>
        <w:tc>
          <w:tcPr>
            <w:tcW w:w="58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Wayne Cohen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Wayne Cohen /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Sculptor Capital Management, Inc.</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1"/>
        <w:gridCol w:w="4324"/>
      </w:tblGrid>
      <w:tr>
        <w:trPr/>
        <w:tc>
          <w:tcPr>
            <w:tcW w:w="58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Wayne Cohen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Wayne Cohen /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Sculptor Real Estate Fund V, LP</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1"/>
        <w:gridCol w:w="4324"/>
      </w:tblGrid>
      <w:tr>
        <w:trPr/>
        <w:tc>
          <w:tcPr>
            <w:tcW w:w="58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Wayne Cohen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Wayne Cohen /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1938</Words>
  <Characters>9846</Characters>
  <CharactersWithSpaces>11677</CharactersWithSpaces>
  <Paragraphs>400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