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Chatham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of Beneficial Interest,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Sculptor Real Estate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2,365,395.00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2,365,395.00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2,365,395.00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Real Estate Advisors LP ("Sculptor RE") a Delaware limited partnership,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principal investment manager to a number of private funds and discretionary accounts (collectively, the "Accounts").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Real Estate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60"/>
          </w:cols>
          <w:pgMar w:left="320" w:top="102" w:right="4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2,365,395.00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00"/>
          </w:cols>
          <w:pgMar w:left="320" w:top="102" w:right="41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60"/>
          </w:cols>
          <w:pgMar w:left="320" w:top="102" w:right="419" w:bottom="0" w:gutter="0" w:footer="0" w:header="0"/>
          <w:type w:val="continuous"/>
        </w:sectPr>
      </w:pPr>
    </w:p>
    <w:bookmarkStart w:id="2" w:name="page3"/>
    <w:bookmarkEnd w:id="2"/>
    <w:p>
      <w:pPr>
        <w:ind w:left="1160" w:right="5620" w:hanging="1112"/>
        <w:spacing w:after="0" w:line="371" w:lineRule="auto"/>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Real Estate GP LLC ("Sculptor RE GP"), a Delaware limited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the general partner of Sculptor 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Holding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080"/>
          </w:cols>
          <w:pgMar w:left="320" w:top="111" w:right="4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2,365,395.00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11" w:right="4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Holding Corporation ("SCHC"), a Delaware corporation, serves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Sculptor.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20" w:top="111" w:right="49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080"/>
          </w:cols>
          <w:pgMar w:left="320" w:top="111" w:right="499" w:bottom="0" w:gutter="0" w:footer="0" w:header="0"/>
          <w:type w:val="continuous"/>
        </w:sectPr>
      </w:pPr>
    </w:p>
    <w:bookmarkStart w:id="3" w:name="page4"/>
    <w:bookmarkEnd w:id="3"/>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360"/>
          </w:cols>
          <w:pgMar w:left="320" w:top="639" w:right="121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2,365,395.00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90" w:orient="portrait"/>
          <w:cols w:equalWidth="0" w:num="2">
            <w:col w:w="1100" w:space="60"/>
            <w:col w:w="9200"/>
          </w:cols>
          <w:pgMar w:left="320" w:top="639" w:right="121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LP ("Sculptor"), a Delaware limited partnership is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of Sculptor RE GP.</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90" w:orient="portrait"/>
          <w:cols w:equalWidth="0" w:num="1">
            <w:col w:w="10360"/>
          </w:cols>
          <w:pgMar w:left="320" w:top="639" w:right="1219"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2,365,395.00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20" w:type="dxa"/>
            <w:vAlign w:val="bottom"/>
          </w:tcPr>
          <w:p>
            <w:pPr>
              <w:spacing w:after="0"/>
              <w:rPr>
                <w:sz w:val="24"/>
                <w:szCs w:val="24"/>
                <w:color w:val="auto"/>
              </w:rPr>
            </w:pPr>
          </w:p>
        </w:tc>
        <w:tc>
          <w:tcPr>
            <w:tcW w:w="7680" w:type="dxa"/>
            <w:vAlign w:val="bottom"/>
          </w:tcPr>
          <w:p>
            <w:pPr>
              <w:ind w:left="14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2,365,395.00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2,365,395.00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Management, Inc. ("SCU"), a Delaware limited liability company,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holding company that is the sole shareholder of SCHC and the ultimate parent company of Sculptor.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Real Estate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0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2,365,395.00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2,365,395.00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0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type w:val="continuous"/>
        </w:sectPr>
      </w:pPr>
    </w:p>
    <w:bookmarkStart w:id="5" w:name="page6"/>
    <w:bookmarkEnd w:id="5"/>
    <w:p>
      <w:pPr>
        <w:ind w:left="1160" w:right="5500" w:hanging="1112"/>
        <w:spacing w:after="0" w:line="371" w:lineRule="auto"/>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5.01 %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Real Estate Fund V, LP is a Cayman Islands company. Sculptor RE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adviser to Sculptor Real Estate Fund V, LP.</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60"/>
          </w:cols>
          <w:pgMar w:left="320" w:top="111" w:right="61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Chatham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Lakeview Avenue, Suite 200, West Palm Beach, FL 33401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West 57th Street, 40th Floor,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of Beneficial Interest,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46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0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2,365,395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60" w:space="300"/>
            <w:col w:w="10000"/>
          </w:cols>
          <w:pgMar w:left="320" w:top="111" w:right="619" w:bottom="0" w:gutter="0" w:footer="0" w:header="0"/>
          <w:type w:val="continuous"/>
        </w:sectPr>
      </w:pPr>
    </w:p>
    <w:p>
      <w:pPr>
        <w:ind w:left="9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0960"/>
          </w:cols>
          <w:pgMar w:left="320" w:top="111" w:right="61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2,365,395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2,365,395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Sculptor RE serves as the principal investment manager to the Accounts and thus may be deemed beneficial owner of the Common Shares in the Accounts managed by Sculptor RE. Sculptor RE GP serves as the sole general partner of Sculptor RE and is wholly owned by Sculptor and thus Sculptor RE GP and Sculptor may be deemed beneficial owners of the Common Shares reported in this Schedule 13G. SCHC serves as the sole general partner of Sculptor. As such, SCHC may be deemed to control Sculptor and, therefore, may be deemed to be the beneficial owners of the Common Shares reported in this Schedule 13G. SCU is the sole shareholder of SCHC, and, for purposes of this Schedule 13G, may be deemed a beneficial owner of the Common Shares reported herein. In accordance with SEC Release No. 34-39538 (January 12, 1998) (the "Release"), this Schedule 13G reflects the securities beneficially owned, or deemed to be beneficially owned, by certain business units (collectively, the "Reporting Business Units") of Sculptor and its subsidiaries and affiliates. It does not include securities, if any, beneficially owned by other business units whose beneficial ownership of securities are disaggregated from that of the Reporting Business Units in accordance with the Release. The percentages reported in this Schedule 13G have been calculated based on 47,254,037 Common shares outstanding, as set forth in the Issuer's 10-K filed February 27th, 2026.</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6</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Sculptor Real Estate Advisors LP</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Sculptor Real Estate GP LLC</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Sculptor Capital Holding Corp</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 Wayne Cohen</w:t>
      </w:r>
    </w:p>
    <w:p>
      <w:pPr>
        <w:spacing w:after="0" w:line="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Wayne Cohen / President and Chief Operating Officer</w:t>
      </w: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Wayne Cohen</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Wayne Cohen / President and Chief Operating Officer</w:t>
      </w: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Wayne Cohen</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Wayne Cohen / President and Chief Operating Officer</w:t>
      </w: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Wayne Cohen</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Wayne Cohen / President and Chief Operating Officer</w:t>
      </w:r>
    </w:p>
    <w:p>
      <w:pPr>
        <w:spacing w:after="0"/>
        <w:rPr>
          <w:sz w:val="20"/>
          <w:szCs w:val="20"/>
          <w:color w:val="auto"/>
        </w:rPr>
      </w:pPr>
      <w:r>
        <w:rPr>
          <w:rFonts w:ascii="Times New Roman" w:cs="Times New Roman" w:eastAsia="Times New Roman" w:hAnsi="Times New Roman"/>
          <w:sz w:val="22"/>
          <w:szCs w:val="22"/>
          <w:color w:val="auto"/>
        </w:rPr>
        <w:t>03/31/2026</w:t>
      </w:r>
    </w:p>
    <w:p>
      <w:pPr>
        <w:spacing w:after="0" w:line="152" w:lineRule="exact"/>
        <w:rPr>
          <w:sz w:val="20"/>
          <w:szCs w:val="20"/>
          <w:color w:val="auto"/>
        </w:rPr>
      </w:pPr>
    </w:p>
    <w:p>
      <w:pPr>
        <w:sectPr>
          <w:pgSz w:w="11900" w:h="16838" w:orient="portrait"/>
          <w:cols w:equalWidth="0" w:num="2">
            <w:col w:w="5600" w:space="60"/>
            <w:col w:w="4000"/>
          </w:cols>
          <w:pgMar w:left="1440" w:top="111" w:right="799" w:bottom="1440" w:gutter="0" w:footer="0" w:header="0"/>
        </w:sectPr>
      </w:pPr>
    </w:p>
    <w:tbl>
      <w:tblPr>
        <w:tblLayout w:type="fixed"/>
        <w:tblInd w:w="1920" w:type="dxa"/>
        <w:tblCellMar>
          <w:top w:w="0" w:type="dxa"/>
          <w:left w:w="0" w:type="dxa"/>
          <w:bottom w:w="0" w:type="dxa"/>
          <w:right w:w="0" w:type="dxa"/>
        </w:tblCellMar>
      </w:tblPr>
      <w:tr>
        <w:trPr>
          <w:trHeight w:val="282"/>
        </w:trPr>
        <w:tc>
          <w:tcPr>
            <w:tcW w:w="3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Sculptor Capital Management, Inc.</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Signature: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Wayne Cohen</w:t>
            </w:r>
          </w:p>
        </w:tc>
        <w:tc>
          <w:tcPr>
            <w:tcW w:w="0" w:type="dxa"/>
            <w:vAlign w:val="bottom"/>
          </w:tcPr>
          <w:p>
            <w:pPr>
              <w:spacing w:after="0"/>
              <w:rPr>
                <w:sz w:val="1"/>
                <w:szCs w:val="1"/>
                <w:color w:val="auto"/>
              </w:rPr>
            </w:pPr>
          </w:p>
        </w:tc>
      </w:tr>
      <w:tr>
        <w:trPr>
          <w:trHeight w:val="258"/>
        </w:trPr>
        <w:tc>
          <w:tcPr>
            <w:tcW w:w="3720" w:type="dxa"/>
            <w:vAlign w:val="bottom"/>
            <w:vMerge w:val="restart"/>
          </w:tcPr>
          <w:p>
            <w:pPr>
              <w:ind w:left="2660"/>
              <w:spacing w:after="0"/>
              <w:rPr>
                <w:sz w:val="20"/>
                <w:szCs w:val="20"/>
                <w:color w:val="auto"/>
              </w:rPr>
            </w:pPr>
            <w:r>
              <w:rPr>
                <w:rFonts w:ascii="Times New Roman" w:cs="Times New Roman" w:eastAsia="Times New Roman" w:hAnsi="Times New Roman"/>
                <w:sz w:val="22"/>
                <w:szCs w:val="22"/>
                <w:color w:val="auto"/>
                <w:w w:val="97"/>
              </w:rPr>
              <w:t>Name/Title: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Wayne Cohen / President and Chief Operating</w:t>
            </w:r>
          </w:p>
        </w:tc>
        <w:tc>
          <w:tcPr>
            <w:tcW w:w="0" w:type="dxa"/>
            <w:vAlign w:val="bottom"/>
          </w:tcPr>
          <w:p>
            <w:pPr>
              <w:spacing w:after="0"/>
              <w:rPr>
                <w:sz w:val="1"/>
                <w:szCs w:val="1"/>
                <w:color w:val="auto"/>
              </w:rPr>
            </w:pPr>
          </w:p>
        </w:tc>
      </w:tr>
      <w:tr>
        <w:trPr>
          <w:trHeight w:val="282"/>
        </w:trPr>
        <w:tc>
          <w:tcPr>
            <w:tcW w:w="3720" w:type="dxa"/>
            <w:vAlign w:val="bottom"/>
            <w:vMerge w:val="continue"/>
          </w:tcPr>
          <w:p>
            <w:pPr>
              <w:spacing w:after="0"/>
              <w:rPr>
                <w:sz w:val="24"/>
                <w:szCs w:val="24"/>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97"/>
        </w:trPr>
        <w:tc>
          <w:tcPr>
            <w:tcW w:w="37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Date: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03/31/2026</w:t>
            </w:r>
          </w:p>
        </w:tc>
        <w:tc>
          <w:tcPr>
            <w:tcW w:w="0" w:type="dxa"/>
            <w:vAlign w:val="bottom"/>
          </w:tcPr>
          <w:p>
            <w:pPr>
              <w:spacing w:after="0"/>
              <w:rPr>
                <w:sz w:val="1"/>
                <w:szCs w:val="1"/>
                <w:color w:val="auto"/>
              </w:rPr>
            </w:pPr>
          </w:p>
        </w:tc>
      </w:tr>
      <w:tr>
        <w:trPr>
          <w:trHeight w:val="405"/>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Sculptor Real Estate Fund V, LP</w:t>
            </w: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Signature: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Wayne Cohen</w:t>
            </w:r>
          </w:p>
        </w:tc>
        <w:tc>
          <w:tcPr>
            <w:tcW w:w="0" w:type="dxa"/>
            <w:vAlign w:val="bottom"/>
          </w:tcPr>
          <w:p>
            <w:pPr>
              <w:spacing w:after="0"/>
              <w:rPr>
                <w:sz w:val="1"/>
                <w:szCs w:val="1"/>
                <w:color w:val="auto"/>
              </w:rPr>
            </w:pPr>
          </w:p>
        </w:tc>
      </w:tr>
      <w:tr>
        <w:trPr>
          <w:trHeight w:val="258"/>
        </w:trPr>
        <w:tc>
          <w:tcPr>
            <w:tcW w:w="3720" w:type="dxa"/>
            <w:vAlign w:val="bottom"/>
            <w:vMerge w:val="restart"/>
          </w:tcPr>
          <w:p>
            <w:pPr>
              <w:ind w:left="2660"/>
              <w:spacing w:after="0"/>
              <w:rPr>
                <w:sz w:val="20"/>
                <w:szCs w:val="20"/>
                <w:color w:val="auto"/>
              </w:rPr>
            </w:pPr>
            <w:r>
              <w:rPr>
                <w:rFonts w:ascii="Times New Roman" w:cs="Times New Roman" w:eastAsia="Times New Roman" w:hAnsi="Times New Roman"/>
                <w:sz w:val="22"/>
                <w:szCs w:val="22"/>
                <w:color w:val="auto"/>
                <w:w w:val="97"/>
              </w:rPr>
              <w:t>Name/Title: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Wayne Cohen / President and Chief Operating</w:t>
            </w:r>
          </w:p>
        </w:tc>
        <w:tc>
          <w:tcPr>
            <w:tcW w:w="0" w:type="dxa"/>
            <w:vAlign w:val="bottom"/>
          </w:tcPr>
          <w:p>
            <w:pPr>
              <w:spacing w:after="0"/>
              <w:rPr>
                <w:sz w:val="1"/>
                <w:szCs w:val="1"/>
                <w:color w:val="auto"/>
              </w:rPr>
            </w:pPr>
          </w:p>
        </w:tc>
      </w:tr>
      <w:tr>
        <w:trPr>
          <w:trHeight w:val="282"/>
        </w:trPr>
        <w:tc>
          <w:tcPr>
            <w:tcW w:w="3720" w:type="dxa"/>
            <w:vAlign w:val="bottom"/>
            <w:vMerge w:val="continue"/>
          </w:tcPr>
          <w:p>
            <w:pPr>
              <w:spacing w:after="0"/>
              <w:rPr>
                <w:sz w:val="24"/>
                <w:szCs w:val="24"/>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97"/>
        </w:trPr>
        <w:tc>
          <w:tcPr>
            <w:tcW w:w="37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Date:</w:t>
            </w:r>
          </w:p>
        </w:tc>
        <w:tc>
          <w:tcPr>
            <w:tcW w:w="40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03/31/2026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660"/>
      </w:cols>
      <w:pgMar w:left="1440" w:top="111"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2026-03-31T15:09:44Z</dcterms:created>
  <dcterms:modified xsi:type="dcterms:W3CDTF">2026-03-31T15:09:44Z</dcterms:modified>
</cp:coreProperties>
</file>