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Brown William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 LAKEVIEW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Chatham Lodging Trust</w:t>
              </w:r>
            </w:hyperlink>
            <w:r>
              <w:rPr/>
              <w:t xml:space="preserve"> [ </w:t>
            </w:r>
            <w:r>
              <w:rPr>
                <w:rFonts w:ascii="Times;serif" w:hAnsi="Times;serif"/>
                <w:color w:val="0000FF"/>
                <w:sz w:val="24"/>
                <w:shd w:fill="FFFFFF" w:val="clear"/>
              </w:rPr>
              <w:t>CLDT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Shares</w:t>
            </w:r>
            <w:r>
              <w:rPr>
                <w:rFonts w:ascii="Times;serif" w:hAnsi="Times;serif"/>
                <w:color w:val="008000"/>
                <w:position w:val="7"/>
                <w:sz w:val="16"/>
                <w:sz w:val="20"/>
                <w:shd w:fill="FFFFFF" w:val="clear"/>
              </w:rPr>
              <w:t>(1)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initial grant of 5,000 restricted common shares granted to the reporting person on September 10, 2026. These shares will vest ratably over the first three anniversaries of the date of the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Dennis M. Craven, as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0858" TargetMode="External"/><Relationship Id="rId5" Type="http://schemas.openxmlformats.org/officeDocument/2006/relationships/hyperlink" Target="http://www.sec.gov/cgi-bin/browse-edgar?action=getcompany&amp;CIK=00014760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602</Words>
  <Characters>3239</Characters>
  <CharactersWithSpaces>3774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