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Chatham Lodging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DONALD SMITH &amp; CO.,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4,254,043.00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4,612,720.00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4,656,442.00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DSCO Value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43,722.00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43,722.00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4,254,043.00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Type of Reporting Person (See Instructions)</w:t>
      </w:r>
    </w:p>
    <w:p>
      <w:pPr>
        <w:spacing w:after="0" w:line="245" w:lineRule="exact"/>
        <w:rPr>
          <w:rFonts w:ascii="Times New Roman" w:cs="Times New Roman" w:eastAsia="Times New Roman" w:hAnsi="Times New Roman"/>
          <w:sz w:val="21"/>
          <w:szCs w:val="21"/>
          <w:color w:val="auto"/>
        </w:rPr>
      </w:pPr>
    </w:p>
    <w:p>
      <w:pPr>
        <w:ind w:left="1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46"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Chatham Lodging Trust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222 LAKEVIEW AVENUE, SUITE 200, WEST PALM BEACH, FLORIDA, 33401.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Donald Smith &amp; Co.,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152 West 57th Street, 29th Floor New York, NY 10019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4,656,442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46"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9.85%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SOLE POWER TO VOTE: Donald Smith &amp; Co., Inc. 4,254,043 DSCO Value Fund, L.P. 43,722</w:t>
      </w:r>
    </w:p>
    <w:p>
      <w:pPr>
        <w:spacing w:after="0" w:line="2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0640"/>
          </w:cols>
          <w:pgMar w:left="360" w:top="111" w:right="899"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SEE ITEM 6</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SOLE POWER TO DISPOSE: Donald Smith &amp; Co., Inc. 4,612,720 DSCO Value Fund, L.P. 43,722</w:t>
      </w:r>
    </w:p>
    <w:p>
      <w:pPr>
        <w:spacing w:after="0" w:line="287" w:lineRule="exact"/>
        <w:rPr>
          <w:sz w:val="20"/>
          <w:szCs w:val="20"/>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6</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firstLine="6"/>
        <w:spacing w:after="0" w:line="233" w:lineRule="auto"/>
        <w:tabs>
          <w:tab w:leader="none" w:pos="21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Donald Smith &amp; Co., Inc. does not serve as custodian of the assets of any of its clients; accordingly, in each instance only the client or the client?s custodian or trustee bank has the right to receive dividends paid with respect to, and proceeds from the sale of, such securities. The ultimate power to direct the receipt of dividends paid with respect to, and the proceeds from the sale of, such securities, is vested in the institutional clients which Donald Smith &amp; Co., Inc. serves as investment advisor. Any and all discretionary authority which has been delegated to Donald Smith &amp; Co., Inc. may be revoked in whole or in part at any time. To the knowledge of Donald Smith &amp; Co., Inc., with respect to all securities reported in this schedule owned by advisory clients of Donald Smith &amp; Co., Inc., not more than 5% of the class of such securities is owned by any one client. 2. With respect to the remaining securities owned, various persons have the right to receive or the power to direct the receipt of dividends from, or the proceeds from the sale of, the Common Stock of Chatham Lodging Trust. No one person?s interest in the Common Stock of Chatham Lodging Trust is more than five percent of the total outstanding Common Stock.</w:t>
      </w:r>
    </w:p>
    <w:p>
      <w:pPr>
        <w:spacing w:after="0" w:line="2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Donald Smith &amp; Co., Inc. IA DSCO Value Fund, L.P. PN</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DONALD SMITH &amp; CO., INC.</w:t>
      </w:r>
    </w:p>
    <w:p>
      <w:pPr>
        <w:spacing w:after="0" w:line="152"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L. Greenberg</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CEO and Co-CIO</w:t>
      </w:r>
    </w:p>
    <w:p>
      <w:pPr>
        <w:spacing w:after="0" w:line="44"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DSCO Value Fund, L.P.</w:t>
      </w:r>
    </w:p>
    <w:p>
      <w:pPr>
        <w:spacing w:after="0" w:line="152"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L. Greenberg</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2080"/>
        <w:spacing w:after="0"/>
        <w:rPr>
          <w:sz w:val="20"/>
          <w:szCs w:val="20"/>
          <w:color w:val="auto"/>
        </w:rPr>
      </w:pPr>
      <w:r>
        <w:rPr>
          <w:rFonts w:ascii="Times New Roman" w:cs="Times New Roman" w:eastAsia="Times New Roman" w:hAnsi="Times New Roman"/>
          <w:sz w:val="21"/>
          <w:szCs w:val="21"/>
          <w:color w:val="auto"/>
        </w:rPr>
        <w:t>Name/Title: CEO and Co-CIO</w:t>
      </w:r>
    </w:p>
    <w:p>
      <w:pPr>
        <w:spacing w:after="0" w:line="56" w:lineRule="exact"/>
        <w:rPr>
          <w:sz w:val="20"/>
          <w:szCs w:val="20"/>
          <w:color w:val="auto"/>
        </w:rPr>
      </w:pPr>
    </w:p>
    <w:p>
      <w:pPr>
        <w:ind w:left="2080"/>
        <w:spacing w:after="0"/>
        <w:tabs>
          <w:tab w:leader="none" w:pos="3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decimal"/>
      <w:start w:val="12"/>
    </w:lvl>
  </w:abstractNum>
  <w:abstractNum w:abstractNumId="3">
    <w:nsid w:val="46E87CCD"/>
    <w:multiLevelType w:val="hybridMultilevel"/>
    <w:lvl w:ilvl="0">
      <w:lvlJc w:val="left"/>
      <w:lvlText w:val="(%1)"/>
      <w:numFmt w:val="lowerLetter"/>
      <w:start w:val="3"/>
    </w:lvl>
  </w:abstractNum>
  <w:abstractNum w:abstractNumId="4">
    <w:nsid w:val="3D1B58BA"/>
    <w:multiLevelType w:val="hybridMultilevel"/>
    <w:lvl w:ilvl="0">
      <w:lvlJc w:val="left"/>
      <w:lvlText w:val="(%1)"/>
      <w:numFmt w:val="lowerRoman"/>
      <w:start w:val="4"/>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2026-05-13T14:42:10Z</dcterms:created>
  <dcterms:modified xsi:type="dcterms:W3CDTF">2026-05-13T14:42:10Z</dcterms:modified>
</cp:coreProperties>
</file>