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128270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138430</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64" w:lineRule="exact"/>
        <w:rPr>
          <w:sz w:val="24"/>
          <w:szCs w:val="24"/>
          <w:color w:val="auto"/>
        </w:rPr>
      </w:pPr>
    </w:p>
    <w:p>
      <w:pPr>
        <w:ind w:left="3820" w:right="1440" w:hanging="3812"/>
        <w:spacing w:after="0" w:line="391" w:lineRule="auto"/>
        <w:tabs>
          <w:tab w:leader="none" w:pos="66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1"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gridSpan w:val="2"/>
          </w:tcPr>
          <w:p>
            <w:pPr>
              <w:spacing w:after="0"/>
              <w:rPr>
                <w:sz w:val="17"/>
                <w:szCs w:val="17"/>
                <w:color w:val="auto"/>
              </w:rPr>
            </w:pPr>
          </w:p>
        </w:tc>
        <w:tc>
          <w:tcPr>
            <w:tcW w:w="2220" w:type="dxa"/>
            <w:vAlign w:val="bottom"/>
          </w:tcPr>
          <w:p>
            <w:pPr>
              <w:spacing w:after="0"/>
              <w:rPr>
                <w:sz w:val="17"/>
                <w:szCs w:val="17"/>
                <w:color w:val="auto"/>
              </w:rPr>
            </w:pPr>
          </w:p>
        </w:tc>
      </w:tr>
      <w:tr>
        <w:trPr>
          <w:trHeight w:val="358"/>
        </w:trPr>
        <w:tc>
          <w:tcPr>
            <w:tcW w:w="3140" w:type="dxa"/>
            <w:vAlign w:val="bottom"/>
          </w:tcPr>
          <w:p>
            <w:pPr>
              <w:spacing w:after="0"/>
              <w:rPr>
                <w:sz w:val="24"/>
                <w:szCs w:val="24"/>
                <w:color w:val="auto"/>
              </w:rPr>
            </w:pPr>
          </w:p>
        </w:tc>
        <w:tc>
          <w:tcPr>
            <w:tcW w:w="6700" w:type="dxa"/>
            <w:vAlign w:val="bottom"/>
            <w:gridSpan w:val="7"/>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Commission File Number: 001-34693</w:t>
            </w:r>
          </w:p>
        </w:tc>
      </w:tr>
      <w:tr>
        <w:trPr>
          <w:trHeight w:val="176"/>
        </w:trPr>
        <w:tc>
          <w:tcPr>
            <w:tcW w:w="4020" w:type="dxa"/>
            <w:vAlign w:val="bottom"/>
            <w:gridSpan w:val="2"/>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603"/>
        </w:trPr>
        <w:tc>
          <w:tcPr>
            <w:tcW w:w="9840" w:type="dxa"/>
            <w:vAlign w:val="bottom"/>
            <w:gridSpan w:val="8"/>
          </w:tcPr>
          <w:p>
            <w:pPr>
              <w:jc w:val="center"/>
              <w:ind w:left="915"/>
              <w:spacing w:after="0"/>
              <w:rPr>
                <w:sz w:val="20"/>
                <w:szCs w:val="20"/>
                <w:color w:val="auto"/>
              </w:rPr>
            </w:pPr>
            <w:r>
              <w:rPr>
                <w:rFonts w:ascii="Times New Roman" w:cs="Times New Roman" w:eastAsia="Times New Roman" w:hAnsi="Times New Roman"/>
                <w:sz w:val="36"/>
                <w:szCs w:val="36"/>
                <w:b w:val="1"/>
                <w:bCs w:val="1"/>
                <w:color w:val="auto"/>
                <w:w w:val="99"/>
              </w:rPr>
              <w:t>CHATHAM LODGING TRUST</w:t>
            </w:r>
          </w:p>
        </w:tc>
      </w:tr>
      <w:tr>
        <w:trPr>
          <w:trHeight w:val="322"/>
        </w:trPr>
        <w:tc>
          <w:tcPr>
            <w:tcW w:w="3140" w:type="dxa"/>
            <w:vAlign w:val="bottom"/>
          </w:tcPr>
          <w:p>
            <w:pPr>
              <w:spacing w:after="0"/>
              <w:rPr>
                <w:sz w:val="24"/>
                <w:szCs w:val="24"/>
                <w:color w:val="auto"/>
              </w:rPr>
            </w:pPr>
          </w:p>
        </w:tc>
        <w:tc>
          <w:tcPr>
            <w:tcW w:w="6700" w:type="dxa"/>
            <w:vAlign w:val="bottom"/>
            <w:gridSpan w:val="7"/>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315"/>
        </w:trPr>
        <w:tc>
          <w:tcPr>
            <w:tcW w:w="3140" w:type="dxa"/>
            <w:vAlign w:val="bottom"/>
          </w:tcPr>
          <w:p>
            <w:pPr>
              <w:jc w:val="center"/>
              <w:ind w:left="1535"/>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6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27-1200777</w:t>
            </w:r>
          </w:p>
        </w:tc>
      </w:tr>
      <w:tr>
        <w:trPr>
          <w:trHeight w:val="238"/>
        </w:trPr>
        <w:tc>
          <w:tcPr>
            <w:tcW w:w="6480" w:type="dxa"/>
            <w:vAlign w:val="bottom"/>
            <w:gridSpan w:val="4"/>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410"/>
        </w:trPr>
        <w:tc>
          <w:tcPr>
            <w:tcW w:w="6480" w:type="dxa"/>
            <w:vAlign w:val="bottom"/>
            <w:gridSpan w:val="4"/>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222 Lakeview Avenue, Suite 200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16"/>
        </w:trPr>
        <w:tc>
          <w:tcPr>
            <w:tcW w:w="3140" w:type="dxa"/>
            <w:vAlign w:val="bottom"/>
          </w:tcPr>
          <w:p>
            <w:pPr>
              <w:jc w:val="center"/>
              <w:ind w:left="1535"/>
              <w:spacing w:after="0"/>
              <w:rPr>
                <w:sz w:val="20"/>
                <w:szCs w:val="20"/>
                <w:color w:val="auto"/>
              </w:rPr>
            </w:pPr>
            <w:r>
              <w:rPr>
                <w:rFonts w:ascii="Times New Roman" w:cs="Times New Roman" w:eastAsia="Times New Roman" w:hAnsi="Times New Roman"/>
                <w:sz w:val="18"/>
                <w:szCs w:val="18"/>
                <w:b w:val="1"/>
                <w:bCs w:val="1"/>
                <w:color w:val="auto"/>
                <w:w w:val="99"/>
              </w:rPr>
              <w:t>West Palm Beach</w:t>
            </w:r>
          </w:p>
        </w:tc>
        <w:tc>
          <w:tcPr>
            <w:tcW w:w="880" w:type="dxa"/>
            <w:vAlign w:val="bottom"/>
          </w:tcPr>
          <w:p>
            <w:pPr>
              <w:spacing w:after="0"/>
              <w:rPr>
                <w:sz w:val="18"/>
                <w:szCs w:val="18"/>
                <w:color w:val="auto"/>
              </w:rPr>
            </w:pPr>
          </w:p>
        </w:tc>
        <w:tc>
          <w:tcPr>
            <w:tcW w:w="24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336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33401</w:t>
            </w:r>
          </w:p>
        </w:tc>
      </w:tr>
      <w:tr>
        <w:trPr>
          <w:trHeight w:val="238"/>
        </w:trPr>
        <w:tc>
          <w:tcPr>
            <w:tcW w:w="6480" w:type="dxa"/>
            <w:vAlign w:val="bottom"/>
            <w:gridSpan w:val="4"/>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37"/>
        </w:trPr>
        <w:tc>
          <w:tcPr>
            <w:tcW w:w="3140" w:type="dxa"/>
            <w:vAlign w:val="bottom"/>
          </w:tcPr>
          <w:p>
            <w:pPr>
              <w:spacing w:after="0"/>
              <w:rPr>
                <w:sz w:val="24"/>
                <w:szCs w:val="24"/>
                <w:color w:val="auto"/>
              </w:rPr>
            </w:pPr>
          </w:p>
        </w:tc>
        <w:tc>
          <w:tcPr>
            <w:tcW w:w="3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(561) 802-4477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Common Shares of Beneficial Interest, $0.01 par value</w:t>
            </w:r>
          </w:p>
        </w:tc>
        <w:tc>
          <w:tcPr>
            <w:tcW w:w="12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CLDT</w:t>
            </w:r>
          </w:p>
        </w:tc>
        <w:tc>
          <w:tcPr>
            <w:tcW w:w="12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6.625% Series A Cumulative Redeemable Preferred Shares</w:t>
            </w: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CLDT-PA</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19" w:lineRule="exact"/>
        <w:rPr>
          <w:sz w:val="24"/>
          <w:szCs w:val="24"/>
          <w:color w:val="auto"/>
        </w:rPr>
      </w:pPr>
    </w:p>
    <w:p>
      <w:pPr>
        <w:jc w:val="both"/>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ind w:right="620" w:firstLine="648"/>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2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jc w:val="both"/>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line="207" w:lineRule="exact"/>
        <w:tabs>
          <w:tab w:leader="none" w:pos="89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26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274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588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Outstanding at May 7, 2026</w:t>
            </w:r>
          </w:p>
        </w:tc>
      </w:tr>
      <w:tr>
        <w:trPr>
          <w:trHeight w:val="20"/>
        </w:trPr>
        <w:tc>
          <w:tcPr>
            <w:tcW w:w="2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37"/>
        </w:trPr>
        <w:tc>
          <w:tcPr>
            <w:tcW w:w="53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Common Shares of Beneficial Interest, $0.01 par value per share</w:t>
            </w:r>
          </w:p>
        </w:tc>
        <w:tc>
          <w:tcPr>
            <w:tcW w:w="4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46,681,220</w:t>
            </w:r>
          </w:p>
        </w:tc>
        <w:tc>
          <w:tcPr>
            <w:tcW w:w="1740" w:type="dxa"/>
            <w:vAlign w:val="bottom"/>
          </w:tcPr>
          <w:p>
            <w:pPr>
              <w:spacing w:after="0"/>
              <w:rPr>
                <w:sz w:val="20"/>
                <w:szCs w:val="20"/>
                <w:color w:val="auto"/>
              </w:rPr>
            </w:pPr>
          </w:p>
        </w:tc>
      </w:tr>
      <w:tr>
        <w:trPr>
          <w:trHeight w:val="675"/>
        </w:trPr>
        <w:tc>
          <w:tcPr>
            <w:tcW w:w="2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1</w:t>
            </w:r>
          </w:p>
        </w:tc>
        <w:tc>
          <w:tcPr>
            <w:tcW w:w="21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2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88"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6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gridSpan w:val="6"/>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80" w:type="dxa"/>
            <w:vAlign w:val="bottom"/>
            <w:gridSpan w:val="8"/>
            <w:vMerge w:val="restart"/>
          </w:tcPr>
          <w:p>
            <w:pPr>
              <w:jc w:val="center"/>
              <w:ind w:right="840"/>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980" w:type="dxa"/>
            <w:vAlign w:val="bottom"/>
            <w:gridSpan w:val="8"/>
            <w:vMerge w:val="continue"/>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1860" w:type="dxa"/>
            <w:vAlign w:val="bottom"/>
            <w:gridSpan w:val="3"/>
          </w:tcPr>
          <w:p>
            <w:pPr>
              <w:spacing w:after="0"/>
              <w:rPr>
                <w:sz w:val="24"/>
                <w:szCs w:val="24"/>
                <w:color w:val="auto"/>
              </w:rPr>
            </w:pPr>
          </w:p>
        </w:tc>
        <w:tc>
          <w:tcPr>
            <w:tcW w:w="3060" w:type="dxa"/>
            <w:vAlign w:val="bottom"/>
            <w:tcBorders>
              <w:top w:val="single" w:sz="8" w:color="0000EE"/>
            </w:tcBorders>
            <w:gridSpan w:val="5"/>
          </w:tcPr>
          <w:p>
            <w:pPr>
              <w:spacing w:after="0"/>
              <w:rPr>
                <w:sz w:val="24"/>
                <w:szCs w:val="24"/>
                <w:color w:val="auto"/>
              </w:rPr>
            </w:pPr>
          </w:p>
        </w:tc>
        <w:tc>
          <w:tcPr>
            <w:tcW w:w="1880" w:type="dxa"/>
            <w:vAlign w:val="bottom"/>
            <w:gridSpan w:val="2"/>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22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19</w:t>
            </w:r>
          </w:p>
        </w:tc>
        <w:tc>
          <w:tcPr>
            <w:tcW w:w="0" w:type="dxa"/>
            <w:vAlign w:val="bottom"/>
          </w:tcPr>
          <w:p>
            <w:pPr>
              <w:spacing w:after="0"/>
              <w:rPr>
                <w:sz w:val="1"/>
                <w:szCs w:val="1"/>
                <w:color w:val="auto"/>
              </w:rPr>
            </w:pPr>
          </w:p>
        </w:tc>
      </w:tr>
      <w:tr>
        <w:trPr>
          <w:trHeight w:val="20"/>
        </w:trPr>
        <w:tc>
          <w:tcPr>
            <w:tcW w:w="132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22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Controls and Procedures.</w:t>
            </w:r>
          </w:p>
        </w:tc>
        <w:tc>
          <w:tcPr>
            <w:tcW w:w="22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29</w:t>
            </w:r>
          </w:p>
        </w:tc>
        <w:tc>
          <w:tcPr>
            <w:tcW w:w="0" w:type="dxa"/>
            <w:vAlign w:val="bottom"/>
          </w:tcPr>
          <w:p>
            <w:pPr>
              <w:spacing w:after="0"/>
              <w:rPr>
                <w:sz w:val="1"/>
                <w:szCs w:val="1"/>
                <w:color w:val="auto"/>
              </w:rPr>
            </w:pPr>
          </w:p>
        </w:tc>
      </w:tr>
      <w:tr>
        <w:trPr>
          <w:trHeight w:val="412"/>
        </w:trPr>
        <w:tc>
          <w:tcPr>
            <w:tcW w:w="6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II. OTHER INFORMATION</w:t>
            </w:r>
          </w:p>
        </w:tc>
        <w:tc>
          <w:tcPr>
            <w:tcW w:w="2020" w:type="dxa"/>
            <w:vAlign w:val="bottom"/>
            <w:gridSpan w:val="3"/>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3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EE"/>
              </w:rPr>
              <w:t>Risk Factors.</w:t>
            </w:r>
          </w:p>
        </w:tc>
        <w:tc>
          <w:tcPr>
            <w:tcW w:w="22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22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Defaults Upon Senior Securities.</w:t>
            </w:r>
          </w:p>
        </w:tc>
        <w:tc>
          <w:tcPr>
            <w:tcW w:w="22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Mine Safety Disclosures.</w:t>
            </w:r>
          </w:p>
        </w:tc>
        <w:tc>
          <w:tcPr>
            <w:tcW w:w="22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30</w:t>
            </w:r>
          </w:p>
        </w:tc>
        <w:tc>
          <w:tcPr>
            <w:tcW w:w="0" w:type="dxa"/>
            <w:vAlign w:val="bottom"/>
          </w:tcPr>
          <w:p>
            <w:pPr>
              <w:spacing w:after="0"/>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8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540" w:type="dxa"/>
            <w:vAlign w:val="bottom"/>
            <w:gridSpan w:val="9"/>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30</w:t>
            </w:r>
          </w:p>
        </w:tc>
        <w:tc>
          <w:tcPr>
            <w:tcW w:w="0" w:type="dxa"/>
            <w:vAlign w:val="bottom"/>
          </w:tcPr>
          <w:p>
            <w:pPr>
              <w:spacing w:after="0"/>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6980" w:type="dxa"/>
            <w:vAlign w:val="bottom"/>
            <w:gridSpan w:val="11"/>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31</w:t>
            </w:r>
          </w:p>
        </w:tc>
        <w:tc>
          <w:tcPr>
            <w:tcW w:w="0" w:type="dxa"/>
            <w:vAlign w:val="bottom"/>
          </w:tcPr>
          <w:p>
            <w:pPr>
              <w:spacing w:after="0"/>
              <w:rPr>
                <w:sz w:val="1"/>
                <w:szCs w:val="1"/>
                <w:color w:val="auto"/>
              </w:rPr>
            </w:pPr>
          </w:p>
        </w:tc>
      </w:tr>
      <w:tr>
        <w:trPr>
          <w:trHeight w:val="453"/>
        </w:trPr>
        <w:tc>
          <w:tcPr>
            <w:tcW w:w="680" w:type="dxa"/>
            <w:vAlign w:val="bottom"/>
          </w:tcPr>
          <w:p>
            <w:pPr>
              <w:spacing w:after="0"/>
              <w:rPr>
                <w:sz w:val="24"/>
                <w:szCs w:val="24"/>
                <w:color w:val="auto"/>
              </w:rPr>
            </w:pPr>
          </w:p>
        </w:tc>
        <w:tc>
          <w:tcPr>
            <w:tcW w:w="640" w:type="dxa"/>
            <w:vAlign w:val="bottom"/>
            <w:tcBorders>
              <w:top w:val="single" w:sz="8" w:color="0000EE"/>
            </w:tcBorders>
            <w:gridSpan w:val="2"/>
          </w:tcPr>
          <w:p>
            <w:pPr>
              <w:spacing w:after="0"/>
              <w:rPr>
                <w:sz w:val="24"/>
                <w:szCs w:val="24"/>
                <w:color w:val="auto"/>
              </w:rPr>
            </w:pPr>
          </w:p>
        </w:tc>
        <w:tc>
          <w:tcPr>
            <w:tcW w:w="5700" w:type="dxa"/>
            <w:vAlign w:val="bottom"/>
            <w:gridSpan w:val="10"/>
          </w:tcPr>
          <w:p>
            <w:pPr>
              <w:jc w:val="center"/>
              <w:ind w:left="281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CHATHAM LODGING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Investment in hotel properties,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1,189,314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1,106,890</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24,435</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8,203</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Right of use asset, net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16,912</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Hotel receivables (net of allowance for doubtful accounts of $291 and $261, respectively)</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2,831</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costs, net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7,384</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8,045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3,726</w:t>
            </w:r>
          </w:p>
        </w:tc>
      </w:tr>
      <w:tr>
        <w:trPr>
          <w:trHeight w:val="249"/>
        </w:trPr>
        <w:tc>
          <w:tcPr>
            <w:tcW w:w="80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1,243,274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1,170,381</w:t>
            </w:r>
          </w:p>
        </w:tc>
      </w:tr>
      <w:tr>
        <w:trPr>
          <w:trHeight w:val="197"/>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Mortgage debt,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141,533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141,475</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Unsecured term loan, net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197,582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197,438</w:t>
            </w:r>
          </w:p>
        </w:tc>
      </w:tr>
      <w:tr>
        <w:trPr>
          <w:trHeight w:val="198"/>
        </w:trPr>
        <w:tc>
          <w:tcPr>
            <w:tcW w:w="800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Accounts payable and accrued expenses (including $748 and $234 due to related parties,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26,648</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Lease liability</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20,067</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Distributions payable</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7,040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6,704</w:t>
            </w:r>
          </w:p>
        </w:tc>
      </w:tr>
      <w:tr>
        <w:trPr>
          <w:trHeight w:val="210"/>
        </w:trPr>
        <w:tc>
          <w:tcPr>
            <w:tcW w:w="80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481,415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392,332</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8"/>
        </w:trPr>
        <w:tc>
          <w:tcPr>
            <w:tcW w:w="8000" w:type="dxa"/>
            <w:vAlign w:val="bottom"/>
            <w:shd w:val="clear" w:color="auto" w:fill="CCEEFF"/>
          </w:tcPr>
          <w:p>
            <w:pPr>
              <w:ind w:left="660"/>
              <w:spacing w:after="0" w:line="198" w:lineRule="exact"/>
              <w:rPr>
                <w:sz w:val="20"/>
                <w:szCs w:val="20"/>
                <w:color w:val="auto"/>
              </w:rPr>
            </w:pPr>
            <w:r>
              <w:rPr>
                <w:rFonts w:ascii="Times New Roman" w:cs="Times New Roman" w:eastAsia="Times New Roman" w:hAnsi="Times New Roman"/>
                <w:sz w:val="18"/>
                <w:szCs w:val="18"/>
                <w:color w:val="auto"/>
              </w:rPr>
              <w:t>Preferred shares, $0.01 par value, 100,000,000 shares authorized; 4,800,000 and 4,800,000 shares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 respectively</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198"/>
        </w:trPr>
        <w:tc>
          <w:tcPr>
            <w:tcW w:w="800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Common shares, $0.01 par value, 500,000,000 shares authorized; 46,875,361 and 47,708,587 shares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 respectively</w:t>
            </w:r>
          </w:p>
        </w:tc>
        <w:tc>
          <w:tcPr>
            <w:tcW w:w="2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1,032,911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1,039,804</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(310,507)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(299,527)</w:t>
            </w:r>
          </w:p>
        </w:tc>
      </w:tr>
      <w:tr>
        <w:trPr>
          <w:trHeight w:val="210"/>
        </w:trPr>
        <w:tc>
          <w:tcPr>
            <w:tcW w:w="80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722,921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740,802</w:t>
            </w: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Noncontrolling interest in Operating Partnership</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38,938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37,247</w:t>
            </w:r>
          </w:p>
        </w:tc>
      </w:tr>
      <w:tr>
        <w:trPr>
          <w:trHeight w:val="210"/>
        </w:trPr>
        <w:tc>
          <w:tcPr>
            <w:tcW w:w="80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761,859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778,049</w:t>
            </w:r>
          </w:p>
        </w:tc>
      </w:tr>
      <w:tr>
        <w:trPr>
          <w:trHeight w:val="250"/>
        </w:trPr>
        <w:tc>
          <w:tcPr>
            <w:tcW w:w="80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1,243,274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1,170,381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CHATHAM LODGING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Room</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61,203</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62,418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Reimbursable costs from related parties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67,504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68,635</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Hotel operating expenses: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14,828</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Telephone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hotel operating</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6,911</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Franchise and marketing fees</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Advertising and promotions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Utilities</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Repairs and maintenance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3,959</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Management fees paid to related parties</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Insurance</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hotel operating expenses</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41,779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15,032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taxes, ground rent and insurance</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charges</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Reimbursable costs from related parties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65,984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67,445</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 before gain on sale of hotel properties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Gain on sale of hotel properties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7,118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8,308</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including amortization of deferred fees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Chatham Lodging Trust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dividends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common share - basic:</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common shareholders (Note 10)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per common share -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common shareholders (Note 10)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47,251,535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48,960,924</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47,251,535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48,960,924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Distributions declared per common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CHATHAM LODGING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 2025 and 2026</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top w:val="single" w:sz="8" w:color="auto"/>
            </w:tcBorders>
            <w:gridSpan w:val="3"/>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980" w:type="dxa"/>
            <w:vAlign w:val="bottom"/>
            <w:gridSpan w:val="6"/>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860" w:type="dxa"/>
            <w:vAlign w:val="bottom"/>
            <w:gridSpan w:val="5"/>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1980" w:type="dxa"/>
            <w:vAlign w:val="bottom"/>
            <w:gridSpan w:val="6"/>
            <w:vMerge w:val="continue"/>
          </w:tcPr>
          <w:p>
            <w:pPr>
              <w:spacing w:after="0"/>
              <w:rPr>
                <w:sz w:val="13"/>
                <w:szCs w:val="13"/>
                <w:color w:val="auto"/>
              </w:rPr>
            </w:pPr>
          </w:p>
        </w:tc>
        <w:tc>
          <w:tcPr>
            <w:tcW w:w="186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Paid - In</w:t>
            </w:r>
          </w:p>
        </w:tc>
        <w:tc>
          <w:tcPr>
            <w:tcW w:w="120" w:type="dxa"/>
            <w:vAlign w:val="bottom"/>
          </w:tcPr>
          <w:p>
            <w:pPr>
              <w:spacing w:after="0"/>
              <w:rPr>
                <w:sz w:val="13"/>
                <w:szCs w:val="13"/>
                <w:color w:val="auto"/>
              </w:rPr>
            </w:pPr>
          </w:p>
        </w:tc>
        <w:tc>
          <w:tcPr>
            <w:tcW w:w="9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Partnership</w:t>
            </w:r>
          </w:p>
        </w:tc>
        <w:tc>
          <w:tcPr>
            <w:tcW w:w="100" w:type="dxa"/>
            <w:vAlign w:val="bottom"/>
          </w:tcPr>
          <w:p>
            <w:pPr>
              <w:spacing w:after="0"/>
              <w:rPr>
                <w:sz w:val="12"/>
                <w:szCs w:val="12"/>
                <w:color w:val="auto"/>
              </w:rPr>
            </w:pPr>
          </w:p>
        </w:tc>
        <w:tc>
          <w:tcPr>
            <w:tcW w:w="88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2"/>
        </w:trPr>
        <w:tc>
          <w:tcPr>
            <w:tcW w:w="2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January 1, 2025</w:t>
            </w:r>
          </w:p>
        </w:tc>
        <w:tc>
          <w:tcPr>
            <w:tcW w:w="8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4,800,000</w:t>
            </w:r>
          </w:p>
        </w:tc>
        <w:tc>
          <w:tcPr>
            <w:tcW w:w="2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48,912,293</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489</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1,046,812</w:t>
            </w:r>
          </w:p>
        </w:tc>
        <w:tc>
          <w:tcPr>
            <w:tcW w:w="26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(289,130)</w:t>
            </w:r>
          </w:p>
        </w:tc>
        <w:tc>
          <w:tcPr>
            <w:tcW w:w="24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758,219</w:t>
            </w:r>
          </w:p>
        </w:tc>
        <w:tc>
          <w:tcPr>
            <w:tcW w:w="20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33,778</w:t>
            </w:r>
          </w:p>
        </w:tc>
        <w:tc>
          <w:tcPr>
            <w:tcW w:w="28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791,997</w:t>
            </w:r>
          </w:p>
        </w:tc>
        <w:tc>
          <w:tcPr>
            <w:tcW w:w="0" w:type="dxa"/>
            <w:vAlign w:val="bottom"/>
          </w:tcPr>
          <w:p>
            <w:pPr>
              <w:spacing w:after="0"/>
              <w:rPr>
                <w:sz w:val="1"/>
                <w:szCs w:val="1"/>
                <w:color w:val="auto"/>
              </w:rPr>
            </w:pPr>
          </w:p>
        </w:tc>
      </w:tr>
      <w:tr>
        <w:trPr>
          <w:trHeight w:val="126"/>
        </w:trPr>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shares</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61,551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562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563</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pursuant to Equity Incentive Plan</w:t>
            </w: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shares, net of</w:t>
            </w: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1,282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costs of $0</w:t>
            </w: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restricted time-based</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8,044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shares</w:t>
            </w:r>
          </w:p>
        </w:tc>
        <w:tc>
          <w:tcPr>
            <w:tcW w:w="8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26"/>
        </w:trPr>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Amortization of share-based</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1,467</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Dividends declared on common</w:t>
            </w: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($0.09 per share)</w:t>
            </w: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Distributions declared on LTIP</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units ($0.09 per unit)</w:t>
            </w: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Forfeited distributions declared on</w:t>
            </w: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LTIP units</w:t>
            </w: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Dividends accrued on preferred</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Reallocation of noncontrolling</w:t>
            </w: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763</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1,536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182"/>
        </w:trPr>
        <w:tc>
          <w:tcPr>
            <w:tcW w:w="22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March 31, 2025</w:t>
            </w:r>
          </w:p>
        </w:tc>
        <w:tc>
          <w:tcPr>
            <w:tcW w:w="88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4,800,000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48,982,638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490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1,048,151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(293,990)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754,699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34,181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788,880</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January 1, 2026</w:t>
            </w:r>
          </w:p>
        </w:tc>
        <w:tc>
          <w:tcPr>
            <w:tcW w:w="8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4,800,000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47,708,587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1,039,804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(299,527)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740,802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37,247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778,049</w:t>
            </w:r>
          </w:p>
        </w:tc>
        <w:tc>
          <w:tcPr>
            <w:tcW w:w="0" w:type="dxa"/>
            <w:vAlign w:val="bottom"/>
          </w:tcPr>
          <w:p>
            <w:pPr>
              <w:spacing w:after="0"/>
              <w:rPr>
                <w:sz w:val="1"/>
                <w:szCs w:val="1"/>
                <w:color w:val="auto"/>
              </w:rPr>
            </w:pPr>
          </w:p>
        </w:tc>
      </w:tr>
      <w:tr>
        <w:trPr>
          <w:trHeight w:val="126"/>
        </w:trPr>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shares</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61,699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pursuant to Equity Incentive Plan</w:t>
            </w: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shares, net of</w:t>
            </w: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1,569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costs of $0</w:t>
            </w: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restricted time-based</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8,433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Repurchases of common shares</w:t>
            </w:r>
          </w:p>
        </w:tc>
        <w:tc>
          <w:tcPr>
            <w:tcW w:w="8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(904,927)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(6,639)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(6,648)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(6,648)</w:t>
            </w:r>
          </w:p>
        </w:tc>
        <w:tc>
          <w:tcPr>
            <w:tcW w:w="0" w:type="dxa"/>
            <w:vAlign w:val="bottom"/>
          </w:tcPr>
          <w:p>
            <w:pPr>
              <w:spacing w:after="0"/>
              <w:rPr>
                <w:sz w:val="1"/>
                <w:szCs w:val="1"/>
                <w:color w:val="auto"/>
              </w:rPr>
            </w:pPr>
          </w:p>
        </w:tc>
      </w:tr>
      <w:tr>
        <w:trPr>
          <w:trHeight w:val="126"/>
        </w:trPr>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Amortization of share-based</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1,413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1,424</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Dividends declared on common</w:t>
            </w: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(4,689)</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(4,689)</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($0.10 per share)</w:t>
            </w: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Distributions declared on LTIP</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units ($0.10 per unit)</w:t>
            </w: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Forfeited distributions declared on</w:t>
            </w: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LTIP units</w:t>
            </w: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Dividends accrued on preferred</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Reallocation of noncontrolling</w:t>
            </w: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(4,304)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(4,542)</w:t>
            </w:r>
          </w:p>
        </w:tc>
        <w:tc>
          <w:tcPr>
            <w:tcW w:w="0" w:type="dxa"/>
            <w:vAlign w:val="bottom"/>
          </w:tcPr>
          <w:p>
            <w:pPr>
              <w:spacing w:after="0"/>
              <w:rPr>
                <w:sz w:val="1"/>
                <w:szCs w:val="1"/>
                <w:color w:val="auto"/>
              </w:rPr>
            </w:pPr>
          </w:p>
        </w:tc>
      </w:tr>
      <w:tr>
        <w:trPr>
          <w:trHeight w:val="182"/>
        </w:trPr>
        <w:tc>
          <w:tcPr>
            <w:tcW w:w="22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March 31, 2026</w:t>
            </w:r>
          </w:p>
        </w:tc>
        <w:tc>
          <w:tcPr>
            <w:tcW w:w="88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4,800,000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46,875,361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469</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1,032,911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(310,507)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722,921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38,938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761,859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CHATHAM LODGING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income</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 of investment in hotel properties</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14,981</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deferred franchise fees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deferred financing fees included in interest expense</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Gain on sale of hotel properties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Right of use asset</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Hotel receivables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costs</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16"/>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Lease liability</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9"/>
        </w:trPr>
        <w:tc>
          <w:tcPr>
            <w:tcW w:w="80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13,336</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4,190</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Improvements and additions to hotel properties</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hotel properties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(92,458)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hotel properties, net</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29,855</w:t>
            </w:r>
          </w:p>
        </w:tc>
      </w:tr>
      <w:tr>
        <w:trPr>
          <w:trHeight w:val="210"/>
        </w:trPr>
        <w:tc>
          <w:tcPr>
            <w:tcW w:w="80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(98,499)</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22,763</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Borrowings on revolving credit facility</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on revolving credit facility</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mortgage debt</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shares</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In-substance repurchase of vested common shares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Repurchases of common shares</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Distributions-common shares/units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Distributions-preferred shares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r>
      <w:tr>
        <w:trPr>
          <w:trHeight w:val="210"/>
        </w:trPr>
        <w:tc>
          <w:tcPr>
            <w:tcW w:w="80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71,838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(31,607)</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(13,325)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32,638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29,844</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19,313</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25,190</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5,158</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6,424</w:t>
            </w:r>
          </w:p>
        </w:tc>
      </w:tr>
      <w:tr>
        <w:trPr>
          <w:trHeight w:val="216"/>
        </w:trPr>
        <w:tc>
          <w:tcPr>
            <w:tcW w:w="8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Cash paid for taxes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disclosure of non-cash investing and financing information (dollars in thousands):</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January 15, 2026, the Company issued 61,699 common shares to its independent trustees pursuant to the Company’s Equity Incentive Plan as compensation for services performed in 2025. On January 15, 2025, the Company issued 61,551 common shares to its independent trustees pursuant to the Company’s Equity Incentive Plan as compensation for services performed in 2024.</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accrued distributions payable of $7,040. As of March 31, 2025, the Company had accrued distributions payable of $6,595.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share-based compensation of $107 and $141 is included in accounts payable and accrued expenses as of March 31, 2026 and 2025,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capital improvements of $612 and $3,125 are included in accounts payable and accrued expenses as of March 31, 2026 and 2025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CHATHAM LODGING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Chatham Lodging Trust (“we,” “us” or the “Company”) was formed as a Maryland real estate investment trust on October 26, 2009. The Company is internally managed and invests primarily in upscale extended-stay and premium-branded select-service hotels. The Company has elected to be treated as a real estate investment trust for federal income tax purposes ("REIT").</w:t>
      </w:r>
    </w:p>
    <w:p>
      <w:pPr>
        <w:spacing w:after="0" w:line="17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net proceeds from our share offerings are contributed to Chatham Lodging, L.P., our operating partnership (the “Operating Partnership”), in exchange for partnership interests. Substantially all of the Company’s assets are held by, and all operations are conducted through, the Operating Partnership. The Company is the sole general partner of the Operating Partnership and owns 100% of the common units of limited partnership interest in the Operating Partnership ("common units"). Certain of the Company’s executive officers hold vested and unvested long-term incentive plan units in the Operating Partnership ("LTIP units"), which are presented as non-controlling interests on our consolidated balance sheets.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the Company owned 39 hotels with an aggregate of 5,610 rooms located in 18 states and the District of Columbia.</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To qualify as a REIT, the Company cannot operate the hotels. Therefore, the Operating Partnership and its subsidiaries lease the Company's hotels to taxable REIT subsidiary lessees (“TRS Lessees”), which are wholly owned by the Company’s taxable REIT subsidiary (“TRS”) holding company. Each hotel is leased to a TRS Lessee under a percentage lease that provides for rental payments equal to the greater of (i) a fixed base rent amount or (ii) a percentage rent based on hotel revenue. Lease revenue from each TRS Lessee is eliminated in consolidation.</w:t>
      </w:r>
    </w:p>
    <w:p>
      <w:pPr>
        <w:spacing w:after="0" w:line="180"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TRS Lessees have entered into management agreements with a third-party management company that provides day-to-day management for the hotels. As of March 31, 2026, Island Hospitality Management, LLC (“IHM”), which is 100% owned by Jeffrey H. Fisher, the Company's Chairman, President and Chief Executive Officer, managed all of the Company’s hotels.</w:t>
      </w:r>
    </w:p>
    <w:p>
      <w:pPr>
        <w:spacing w:after="0" w:line="200" w:lineRule="exact"/>
        <w:rPr>
          <w:sz w:val="20"/>
          <w:szCs w:val="20"/>
          <w:color w:val="auto"/>
        </w:rPr>
      </w:pPr>
    </w:p>
    <w:p>
      <w:pPr>
        <w:spacing w:after="0" w:line="215" w:lineRule="exact"/>
        <w:rPr>
          <w:sz w:val="20"/>
          <w:szCs w:val="20"/>
          <w:color w:val="auto"/>
        </w:rPr>
      </w:pPr>
    </w:p>
    <w:p>
      <w:pPr>
        <w:ind w:left="660" w:right="7200" w:hanging="652"/>
        <w:spacing w:after="0" w:line="503"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Basis of Presentation</w:t>
      </w: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and related notes have been prepared in accordance with U.S. generally accepted accounting principles (“GAAP”) and in conformity with the rules and regulations of the Securities and Exchange Commission (“SEC”) applicable to interim financial information. These unaudited consolidated financial statements, in the opinion of management, include all adjustments consisting of normal, recurring adjustments which are considered necessary for a fair statement of the consolidated balance sheets, consolidated statements of operations, consolidated statements of equity, and consolidated statements of cash flows for the periods presented. Interim results are not necessarily indicative of full year performance due to seasonal and other factors, including the timing of the acquisition or sale of hotels.</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all of the accounts of the Company, the Operating Partnership (a variable interest entity) and its wholly owned subsidiaries. All intercompany balances and transactions are eliminated in consolidation. The accompanying unaudited consolidated financial statements should be read in conjunction with the audited financial statements prepared in accordance with GAAP, and the related notes thereto as of December 31, 2025, which are included in the Company’s Annual Report on Form 10-K for the year ended December 31, 2025.</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balance sheet date and the reported amounts of revenues and expenses during the reporting periods. Actual results could differ from those estimates.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2024-03, “Income Statement — Reporting Comprehensive Income — Expense Disaggregation Disclosures (Subtopic 220-40): Disaggregation of Income Statement Expenses”, which requires disaggregated disclosures in the notes of the financial statements of certain categories of expenses that are included in expense line items on the face of the income statement. This ASU is effective for annual reporting periods beginning after December 15, 2026, and interim periods within annual reporting periods beginning after December 15, 2027. Early adoption is permitted. The Company is currently evaluating the potential impact adopting ASU 2024-03 will have on the Company's consolidated financial statements and disclosures.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Hotel Properties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March 3, 2026, the Company acquired a portfolio of six hotel properties for $92.0 million, which included the Hampton Inn &amp; Suites Paducah ("HI Paducah"), the Homewood Suites by Hilton Paducah ("HWS Paducah"), the Homewood Suites by Hilton Joplin ("HWS Joplin"), the Home2 Suites by Hilton Joplin ("Home2 Joplin"), the Hampton Inn &amp; Suites Effingham ("HI Effingham") and the Home2 Suites by Hilton Effingham ("Home2 Effingham") hotel properties. The Company allocated the purchase price of the hotel properties acquired based on the estimated fair values of the assets on the date of acquisition. Property acquisition costs of $0.5 million were capitalized in 2026.</w:t>
      </w:r>
    </w:p>
    <w:p>
      <w:pPr>
        <w:spacing w:after="0" w:line="200" w:lineRule="exact"/>
        <w:rPr>
          <w:sz w:val="20"/>
          <w:szCs w:val="20"/>
          <w:color w:val="auto"/>
        </w:rPr>
      </w:pPr>
    </w:p>
    <w:p>
      <w:pPr>
        <w:spacing w:after="0" w:line="22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Disposition of Hotel Properties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On December 23, 2025, the Company sold the Homewood Suites by Hilton Boston-Billerica ("HWS Billerica") hotel property in Billerica, MA for $17.4 million and recognized a gain on sale of the hotel property of $6.5 million.</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On April 22, 2025, the Company sold the Courtyard Houston-Medical Center ("CY Houston") hotel property in Houston, TX for $23.5 million and recognized a gain on sale of the hotel property of $0.1 million.</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On March 17, 2025, the Company sold the Hampton Inn &amp; Suites Houston-Medical Center ("HI Houston") hotel property in Houston, TX for $15.5 million and recognized a gain on sale of the hotel property of $1.8 million.</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On January 30, 2025, the Company sold the Homewood Suites by Hilton Nashville-Brentwood ("HWS Brentwood") hotel property in Brentwood, TN for $15.0 million and recognized a gain on sale of the hotel property of $5.6 million.</w:t>
      </w:r>
    </w:p>
    <w:p>
      <w:pPr>
        <w:spacing w:after="0" w:line="16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sales did not represent a strategic shift that had or will have a major effect on the Company's operations and financial results and did not qualify to be reported as discontinued operations.</w:t>
      </w:r>
    </w:p>
    <w:p>
      <w:pPr>
        <w:spacing w:after="0" w:line="200" w:lineRule="exact"/>
        <w:rPr>
          <w:sz w:val="20"/>
          <w:szCs w:val="20"/>
          <w:color w:val="auto"/>
        </w:rPr>
      </w:pPr>
    </w:p>
    <w:p>
      <w:pPr>
        <w:spacing w:after="0" w:line="201" w:lineRule="exact"/>
        <w:rPr>
          <w:sz w:val="20"/>
          <w:szCs w:val="20"/>
          <w:color w:val="auto"/>
        </w:rPr>
      </w:pPr>
    </w:p>
    <w:p>
      <w:pPr>
        <w:ind w:left="660" w:right="8120" w:hanging="652"/>
        <w:spacing w:after="0" w:line="532" w:lineRule="auto"/>
        <w:tabs>
          <w:tab w:leader="none" w:pos="66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Investment in Hotel Properties </w:t>
      </w:r>
      <w:r>
        <w:rPr>
          <w:rFonts w:ascii="Times New Roman" w:cs="Times New Roman" w:eastAsia="Times New Roman" w:hAnsi="Times New Roman"/>
          <w:sz w:val="17"/>
          <w:szCs w:val="17"/>
          <w:i w:val="1"/>
          <w:iCs w:val="1"/>
          <w:color w:val="auto"/>
        </w:rPr>
        <w:t>Investment in hotel properties, net</w:t>
      </w:r>
    </w:p>
    <w:p>
      <w:pPr>
        <w:spacing w:after="0" w:line="1"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Investment in hotel properties, net as of March 31, 2026 and December 31, 2025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16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2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277,676</w:t>
            </w:r>
          </w:p>
        </w:tc>
        <w:tc>
          <w:tcPr>
            <w:tcW w:w="5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268,546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1,249,600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1,174,132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100,486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43,841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Renovations in progress</w:t>
            </w:r>
          </w:p>
        </w:tc>
        <w:tc>
          <w:tcPr>
            <w:tcW w:w="2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11,301</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1,682,904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1,585,764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(493,590)</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 in hotel properties, net</w:t>
            </w:r>
          </w:p>
        </w:tc>
        <w:tc>
          <w:tcPr>
            <w:tcW w:w="2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1,189,314</w:t>
            </w:r>
          </w:p>
        </w:tc>
        <w:tc>
          <w:tcPr>
            <w:tcW w:w="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1,106,890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740" w:type="dxa"/>
            <w:vAlign w:val="bottom"/>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Company’s mortgage loans are collateralized by first-mortgage liens on certain of the Company’s properties. The mortgage loans are non-recourse except for instances of fraud or misapplication of funds. Mortgage, revolving credit facility, and unsecured term loan debt consisted of the following (dollars in thousands):</w:t>
      </w:r>
    </w:p>
    <w:p>
      <w:pPr>
        <w:spacing w:after="0" w:line="172"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Property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Balance Outstanding on Loan as of</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Carrying Value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1"/>
        </w:trPr>
        <w:tc>
          <w:tcPr>
            <w:tcW w:w="3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September 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September 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Term Loan (2)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September 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Courtyard by Marriott Dallas, TX</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38,142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24,500</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Hyatt Place Pittsburgh, PA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June 11, 2029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23,300</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September 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Residence Inn by Marriott Austin, TX</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20,850</w:t>
            </w: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September 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TownePlace Suites by Marriott Austin, TX</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19,075</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September 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Courtyard by Marriott Summerville, SC</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17,345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September 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Residence Inn by Marriott Summerville, SC</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16,484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SpringHill Suites by Marriott Savannah, GA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June 6, 2034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22,000</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Hampton Inn &amp; Suites Exeter, NH</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June 11, 2034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11,812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5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 before unamortized debt issue costs</w:t>
            </w: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208,128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428,225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343,225</w:t>
            </w:r>
          </w:p>
        </w:tc>
        <w:tc>
          <w:tcPr>
            <w:tcW w:w="0" w:type="dxa"/>
            <w:vAlign w:val="bottom"/>
          </w:tcPr>
          <w:p>
            <w:pPr>
              <w:spacing w:after="0"/>
              <w:rPr>
                <w:sz w:val="1"/>
                <w:szCs w:val="1"/>
                <w:color w:val="auto"/>
              </w:rPr>
            </w:pPr>
          </w:p>
        </w:tc>
      </w:tr>
      <w:tr>
        <w:trPr>
          <w:trHeight w:val="178"/>
        </w:trPr>
        <w:tc>
          <w:tcPr>
            <w:tcW w:w="3840" w:type="dxa"/>
            <w:vAlign w:val="bottom"/>
            <w:tcBorders>
              <w:top w:val="single" w:sz="8" w:color="CCEEFF"/>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Unamortized term loan and mortgage debt issue</w:t>
            </w:r>
          </w:p>
        </w:tc>
        <w:tc>
          <w:tcPr>
            <w:tcW w:w="7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3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0" w:type="dxa"/>
            <w:vAlign w:val="bottom"/>
          </w:tcPr>
          <w:p>
            <w:pPr>
              <w:spacing w:after="0"/>
              <w:rPr>
                <w:sz w:val="1"/>
                <w:szCs w:val="1"/>
                <w:color w:val="auto"/>
              </w:rPr>
            </w:pPr>
          </w:p>
        </w:tc>
      </w:tr>
      <w:tr>
        <w:trPr>
          <w:trHeight w:val="221"/>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 outstanding</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424,115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338,913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for the revolving credit facility is variable and based on one-month term secured overnight financing rate ("SOFR") plus a spread of 1.50% to 2.25% based on the Company's leverage.</w:t>
      </w:r>
    </w:p>
    <w:p>
      <w:pPr>
        <w:spacing w:after="0" w:line="16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for the unsecured term loan is variable and based on one-month term SOFR plus a spread of 1.45% to 2.20% based on the Company's leverage.</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the Company had $285.0 million and $200.0 million, respectively, of outstanding borrowings under its revolving credit facility and unsecured term loan. At March 31, 2026, the aggregate maximum remaining borrowing availability under the Credit Facility was $215.0 million.</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had net borrowings of $85.0 million under its revolving credit facility. During the three months ended March 31, 2025, the Company repaid the maturing mortgage loan of $16.0 million on the Hampton Inn Houston hotel property.</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its fixed rate debt by discounting the future cash flows of each instrument at estimated market rates. All of the Company's mortgage loans are fixed-rate. Rates take into consideration general market conditions, quality and estimated value of collateral and maturity of debt with similar credit terms and are classified within level 3 of the fair value hierarchy. The estimated fair value of the Company’s fixed rate debt as of March 31, 2026 and December 31, 2025 was $149.3 million and $154.0 million, respectively.</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its variable rate debt by taking into account general market conditions and the estimated credit terms it could obtain for debt with similar maturity and is classified within level 3 of the fair value hierarchy. As of March 31, 2026, the Company’s variable rate debt consisted of borrowings under its revolving credit facility and its unsecured term loan. The estimated fair value of the Company’s variable rate debt as of March 31, 2026 and December 31, 2025 was $285.0 million and $200.0 million, respectively.</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Future scheduled principal payments of debt obligations as of March 31, 2026, for the current year and each of the next five calendar years and thereafter are as follows (in thousands):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2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308,681</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94,544</w:t>
            </w:r>
          </w:p>
        </w:tc>
      </w:tr>
      <w:tr>
        <w:trPr>
          <w:trHeight w:val="25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debt before unamortized debt issue costs</w:t>
            </w:r>
          </w:p>
        </w:tc>
        <w:tc>
          <w:tcPr>
            <w:tcW w:w="2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428,225</w:t>
            </w:r>
          </w:p>
        </w:tc>
      </w:tr>
      <w:tr>
        <w:trPr>
          <w:trHeight w:val="197"/>
        </w:trPr>
        <w:tc>
          <w:tcPr>
            <w:tcW w:w="59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Unamortized term loan and mortgage debt issue costs</w:t>
            </w:r>
          </w:p>
        </w:tc>
        <w:tc>
          <w:tcPr>
            <w:tcW w:w="202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(4,110)</w:t>
            </w:r>
          </w:p>
        </w:tc>
      </w:tr>
      <w:tr>
        <w:trPr>
          <w:trHeight w:val="249"/>
        </w:trPr>
        <w:tc>
          <w:tcPr>
            <w:tcW w:w="5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debt outstanding</w:t>
            </w:r>
          </w:p>
        </w:tc>
        <w:tc>
          <w:tcPr>
            <w:tcW w:w="2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424,115</w:t>
            </w:r>
          </w:p>
        </w:tc>
      </w:tr>
    </w:tbl>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 expense was $0.1 million and zero for the three months ended March 31, 2026 and 2025, respectively.</w:t>
      </w:r>
    </w:p>
    <w:p>
      <w:pPr>
        <w:spacing w:after="0" w:line="225"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Company’s TRS is subject to federal and state income taxes. As of each reporting date, the Company's management considers new evidence, both positive and negative, that could impact management's view with regard to future realization of deferred tax assets. The Company's TRS continues to have cumulative three-year taxable losses. As of March 31, 2026, the Company's TRS continues to recognize a full valuation allowance equal to 100% of the net deferred tax assets. Management will continue to monitor the need for a valuation allowance.</w:t>
      </w:r>
    </w:p>
    <w:p>
      <w:pPr>
        <w:spacing w:after="0" w:line="200" w:lineRule="exact"/>
        <w:rPr>
          <w:sz w:val="20"/>
          <w:szCs w:val="20"/>
          <w:color w:val="auto"/>
        </w:rPr>
      </w:pPr>
    </w:p>
    <w:p>
      <w:pPr>
        <w:spacing w:after="0" w:line="219" w:lineRule="exact"/>
        <w:rPr>
          <w:sz w:val="20"/>
          <w:szCs w:val="20"/>
          <w:color w:val="auto"/>
        </w:rPr>
      </w:pPr>
    </w:p>
    <w:p>
      <w:pPr>
        <w:ind w:left="660" w:right="8360" w:hanging="652"/>
        <w:spacing w:after="0" w:line="503"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Declared and Paid </w:t>
      </w:r>
      <w:r>
        <w:rPr>
          <w:rFonts w:ascii="Times New Roman" w:cs="Times New Roman" w:eastAsia="Times New Roman" w:hAnsi="Times New Roman"/>
          <w:sz w:val="18"/>
          <w:szCs w:val="18"/>
          <w:i w:val="1"/>
          <w:iCs w:val="1"/>
          <w:color w:val="auto"/>
        </w:rPr>
        <w:t>Common Dividends</w:t>
      </w: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declared total dividends on common shares of $ 0.10 per share and distributions on LTIP units of $ 0.10 per unit for the three months ended March 31, 2026. The Company declared total dividends on common shares of $ 0.09 per share and distributions on LTIP units of $ 0.09 per unit for the three months ended March 31, 2025. The dividends on common shares and distributions on LTIP units were as follows: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LTIP unit</w:t>
            </w:r>
          </w:p>
        </w:tc>
      </w:tr>
      <w:tr>
        <w:trPr>
          <w:trHeight w:val="216"/>
        </w:trPr>
        <w:tc>
          <w:tcPr>
            <w:tcW w:w="27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distribution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distribution</w:t>
            </w:r>
          </w:p>
        </w:tc>
      </w:tr>
      <w:tr>
        <w:trPr>
          <w:trHeight w:val="238"/>
        </w:trPr>
        <w:tc>
          <w:tcPr>
            <w:tcW w:w="27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1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306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8"/>
              </w:rPr>
              <w:t>3/31/2026</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4/15/2026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27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5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2026</w:t>
            </w:r>
          </w:p>
        </w:tc>
        <w:tc>
          <w:tcPr>
            <w:tcW w:w="30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0.10</w:t>
            </w:r>
          </w:p>
        </w:tc>
      </w:tr>
      <w:tr>
        <w:trPr>
          <w:trHeight w:val="606"/>
        </w:trPr>
        <w:tc>
          <w:tcPr>
            <w:tcW w:w="2780" w:type="dxa"/>
            <w:vAlign w:val="bottom"/>
            <w:tcBorders>
              <w:top w:val="single" w:sz="8" w:color="CCEEFF"/>
            </w:tcBorders>
          </w:tcPr>
          <w:p>
            <w:pPr>
              <w:spacing w:after="0"/>
              <w:rPr>
                <w:sz w:val="24"/>
                <w:szCs w:val="24"/>
                <w:color w:val="auto"/>
              </w:rPr>
            </w:pPr>
          </w:p>
        </w:tc>
        <w:tc>
          <w:tcPr>
            <w:tcW w:w="306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0" w:type="dxa"/>
            <w:vAlign w:val="bottom"/>
            <w:tcBorders>
              <w:top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LTIP unit</w:t>
            </w:r>
          </w:p>
        </w:tc>
      </w:tr>
      <w:tr>
        <w:trPr>
          <w:trHeight w:val="216"/>
        </w:trPr>
        <w:tc>
          <w:tcPr>
            <w:tcW w:w="27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distribution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distribution</w:t>
            </w:r>
          </w:p>
        </w:tc>
      </w:tr>
      <w:tr>
        <w:trPr>
          <w:trHeight w:val="238"/>
        </w:trPr>
        <w:tc>
          <w:tcPr>
            <w:tcW w:w="27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0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306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8"/>
              </w:rPr>
              <w:t>3/31/2025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4/15/2025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r>
      <w:tr>
        <w:trPr>
          <w:trHeight w:val="230"/>
        </w:trPr>
        <w:tc>
          <w:tcPr>
            <w:tcW w:w="27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260" w:type="dxa"/>
            <w:vAlign w:val="bottom"/>
          </w:tcPr>
          <w:p>
            <w:pPr>
              <w:spacing w:after="0"/>
              <w:rPr>
                <w:sz w:val="19"/>
                <w:szCs w:val="19"/>
                <w:color w:val="auto"/>
              </w:rPr>
            </w:pPr>
          </w:p>
        </w:tc>
      </w:tr>
      <w:tr>
        <w:trPr>
          <w:trHeight w:val="210"/>
        </w:trPr>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2025</w:t>
            </w:r>
          </w:p>
        </w:tc>
        <w:tc>
          <w:tcPr>
            <w:tcW w:w="306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0.09</w:t>
            </w:r>
          </w:p>
        </w:tc>
      </w:tr>
      <w:tr>
        <w:trPr>
          <w:trHeight w:val="20"/>
        </w:trPr>
        <w:tc>
          <w:tcPr>
            <w:tcW w:w="27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Preferred Dividends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declared total dividends of $0.41406 and $0.41406, respectively, per share of 6.625% Series A Cumulative Redeemable Preferred Shares. The preferred share dividends were as follows:</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Dividend per</w:t>
            </w:r>
          </w:p>
        </w:tc>
      </w:tr>
      <w:tr>
        <w:trPr>
          <w:trHeight w:val="238"/>
        </w:trPr>
        <w:tc>
          <w:tcPr>
            <w:tcW w:w="31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Preferred Share</w:t>
            </w: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3440" w:type="dxa"/>
            <w:vAlign w:val="bottom"/>
            <w:shd w:val="clear" w:color="auto" w:fill="CCEEFF"/>
          </w:tcPr>
          <w:p>
            <w:pPr>
              <w:jc w:val="center"/>
              <w:ind w:left="2070"/>
              <w:spacing w:after="0"/>
              <w:rPr>
                <w:sz w:val="20"/>
                <w:szCs w:val="20"/>
                <w:color w:val="auto"/>
              </w:rPr>
            </w:pPr>
            <w:r>
              <w:rPr>
                <w:rFonts w:ascii="Times New Roman" w:cs="Times New Roman" w:eastAsia="Times New Roman" w:hAnsi="Times New Roman"/>
                <w:sz w:val="18"/>
                <w:szCs w:val="18"/>
                <w:color w:val="auto"/>
                <w:w w:val="98"/>
              </w:rPr>
              <w:t>3/31/2026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4/15/2026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0.41406</w:t>
            </w:r>
          </w:p>
        </w:tc>
      </w:tr>
      <w:tr>
        <w:trPr>
          <w:trHeight w:val="216"/>
        </w:trPr>
        <w:tc>
          <w:tcPr>
            <w:tcW w:w="3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5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2026</w:t>
            </w:r>
          </w:p>
        </w:tc>
        <w:tc>
          <w:tcPr>
            <w:tcW w:w="34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0.41406</w:t>
            </w:r>
          </w:p>
        </w:tc>
      </w:tr>
      <w:tr>
        <w:trPr>
          <w:trHeight w:val="606"/>
        </w:trPr>
        <w:tc>
          <w:tcPr>
            <w:tcW w:w="3120" w:type="dxa"/>
            <w:vAlign w:val="bottom"/>
            <w:tcBorders>
              <w:top w:val="single" w:sz="8" w:color="CCEEFF"/>
            </w:tcBorders>
          </w:tcPr>
          <w:p>
            <w:pPr>
              <w:spacing w:after="0"/>
              <w:rPr>
                <w:sz w:val="24"/>
                <w:szCs w:val="24"/>
                <w:color w:val="auto"/>
              </w:rPr>
            </w:pPr>
          </w:p>
        </w:tc>
        <w:tc>
          <w:tcPr>
            <w:tcW w:w="344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Dividend per</w:t>
            </w:r>
          </w:p>
        </w:tc>
      </w:tr>
      <w:tr>
        <w:trPr>
          <w:trHeight w:val="238"/>
        </w:trPr>
        <w:tc>
          <w:tcPr>
            <w:tcW w:w="31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Preferred Share</w:t>
            </w:r>
          </w:p>
        </w:tc>
      </w:tr>
      <w:tr>
        <w:trPr>
          <w:trHeight w:val="20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3440" w:type="dxa"/>
            <w:vAlign w:val="bottom"/>
            <w:shd w:val="clear" w:color="auto" w:fill="CCEEFF"/>
          </w:tcPr>
          <w:p>
            <w:pPr>
              <w:jc w:val="center"/>
              <w:ind w:left="2070"/>
              <w:spacing w:after="0"/>
              <w:rPr>
                <w:sz w:val="20"/>
                <w:szCs w:val="20"/>
                <w:color w:val="auto"/>
              </w:rPr>
            </w:pPr>
            <w:r>
              <w:rPr>
                <w:rFonts w:ascii="Times New Roman" w:cs="Times New Roman" w:eastAsia="Times New Roman" w:hAnsi="Times New Roman"/>
                <w:sz w:val="18"/>
                <w:szCs w:val="18"/>
                <w:color w:val="auto"/>
                <w:w w:val="98"/>
              </w:rPr>
              <w:t>3/31/2025</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4/15/2025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0.41406</w:t>
            </w:r>
          </w:p>
        </w:tc>
      </w:tr>
      <w:tr>
        <w:trPr>
          <w:trHeight w:val="216"/>
        </w:trPr>
        <w:tc>
          <w:tcPr>
            <w:tcW w:w="3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2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2025</w:t>
            </w:r>
          </w:p>
        </w:tc>
        <w:tc>
          <w:tcPr>
            <w:tcW w:w="3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0.41406</w:t>
            </w: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771"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71"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right="8960" w:hanging="652"/>
        <w:spacing w:after="0" w:line="532" w:lineRule="auto"/>
        <w:tabs>
          <w:tab w:leader="none" w:pos="66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Shareholders' Equity </w:t>
      </w:r>
      <w:r>
        <w:rPr>
          <w:rFonts w:ascii="Times New Roman" w:cs="Times New Roman" w:eastAsia="Times New Roman" w:hAnsi="Times New Roman"/>
          <w:sz w:val="17"/>
          <w:szCs w:val="17"/>
          <w:i w:val="1"/>
          <w:iCs w:val="1"/>
          <w:color w:val="auto"/>
        </w:rPr>
        <w:t>Common Shares</w:t>
      </w:r>
    </w:p>
    <w:p>
      <w:pPr>
        <w:spacing w:after="0" w:line="1"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The Company is authorized to issue up to 500,000,000 common shares of beneficial interest, $0.01 par value per share ("common shares"). Each outstanding common share entitles the holder to one vote on all matters submitted to a vote of shareholders. Holders of the Company’s common shares are entitled to receive dividends when authorized by the Company's Board of Trustees. As of March 31, 2026, 46,875,361 common shares were outstanding.</w:t>
      </w:r>
    </w:p>
    <w:p>
      <w:pPr>
        <w:spacing w:after="0" w:line="158"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In January 2021, the Company established an "at-the-market" equity offering program (the "ATM Program") whereby, from time to time, the Company may publicly offer and sell its common shares having an aggregate offering price of up to $100.0 million by means of ordinary brokers transactions on the New York Stock Exchange (the "NYSE"), in negotiated transactions or in transactions deemed to be “at-the-market” offerings as defined in Rule 415 under the Securities Act of 1933, as amended. The Company did not issue any shares under the ATM Program during the three months ended March 31, 2026. As of March 31, 2026, there was approximately $77.5 million of common shares available for issuance under the ATM Program.</w:t>
      </w:r>
    </w:p>
    <w:p>
      <w:pPr>
        <w:spacing w:after="0" w:line="16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December 2017, the Company established a $50.0 million dividend reinvestment and stock purchase plan (the "DRSPP") which was renewed in December 2020 and renewed again in January 2024. Under the DRSPP, shareholders may purchase additional common shares by reinvesting some or all of the cash dividends received on common shares. Shareholders may also make optional cash purchases of the Company's common shares subject to certain limitations detailed in the prospectuses for the DRSPP. During the three months ended March 31, 2026, the Company issued 1,569 common shares under the DRSPP at a weighted-average price per share of $7.38, which generated $12 thousand of proceeds. As of March 31, 2026, there was approximately $49.9 million of common shares available for issuance under the DRSPP.</w:t>
      </w:r>
    </w:p>
    <w:p>
      <w:pPr>
        <w:spacing w:after="0" w:line="187"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In May 2025, the Board of Trustees authorized and approved a $25.0 million share repurchase program (the "Share Repurchase Program") of common shares of the Company. Under the Share Repurchase Program, the Company has the ability to repurchase up to $25.0 million of common shares through open market purchases or other privately negotiated transactions at times and in amounts as the Company deems appropriate. The Share Repurchase Program has no time limit and may be suspended or discontinued at any time. During the three months ended March 31, 2026, the Company repurchased 904,927 common shares at a weighted-average price per share of $7.35 for an aggregate purchase price, including commissions, of approximately $6.6 million. As of March 31, 2026, there was approximately $9.4 million of common shares available for repurchase under the Share Repurchase Program.</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Preferred Shares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authorized to issue up to 100,000,000 preferred shares of beneficial interest, $0.01 par value per share, in one or more series.</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June 30, 2021, the Company issued 4,800,000 6.625% Series A Cumulative Redeemable Preferred Shares of Beneficial Interest, $0.01 par value per share (the “Series A Preferred Shares”), and received net proceeds of approximately $115.9 million. The Series A Preferred Shares rank senior to common shares with respect to the payment of dividends and distributions of assets in the event of a liquidation, dissolution, or winding up. The Series A Preferred Shares do not have any maturity date and are not subject to mandatory redemptions or sinking fund requirements. The distribution rate is</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6.625% per annum of the $25.00 liquidation preference, which is equivalent to $1.65625 per annum per Series A Preferred Share. Distributions on the Series A Preferred Shares are payable quarterly in arrears. The Company may not redeem the Series A Preferred Shares before June 30, 2026 except in limited circumstances to preserve the Company's status as a REIT for federal income tax purposes and upon the occurrence of a change of control. On and after June 30, 2026, the Company may, at its option, redeem the Series A Preferred Shares, in whole or from time to time in part, by paying $25.00 per share, plus any accrued and unpaid distributions to, but not including, the date of redemption. Upon the occurrence of a change of control, as defined in the Company's declaration of trust, the result of which common shares and the common securities of the acquiring or surviving entity are not listed on the New York Stock Exchange, the NYSE American or NASDAQ, or any successor exchanges, the Company may, at its option, redeem the Series A Preferred Shares in whole or in part within 120 days following the change of control by paying $25.00 per share, plus any accrued and unpaid distributions through the date of redemption. If the Company does not exercise its right to redeem the Series A Preferred Shares upon a change of control, the holders of Series A Preferred Shares have the right to convert some or all of their shares into a number of common shares based on defined formulas subject to share caps. The share cap on each Series A Preferred Share is 3.701 common shares. As of March 31, 2026, 4,800,000 Series A Preferred Shares were issued and outstanding. During the three months ended March 31, 2026, the Company paid preferred share dividends of $2.0 million.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Partnership Units</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Holders of common units in the Operating Partnership, if and when issued, will have certain redemption rights, which will enable the unit holders to cause the Operating Partnership to redeem their units in exchange for, at the Company’s option, cash per unit equal to the market price per common share at the time of redemption or for common shares on a one-for-one basis. The number of shares issuable upon exercise of the redemption rights will be adjusted upon the occurrence of share splits, mergers, consolidations or similar pro-rata share transactions, which otherwise would have the effect of diluting the ownership interests of limited partners or shareholders. As of March 31, 2026, there were 2,399,044 vested LTIP units held by current and former employees.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two-class method is used to determine earnings per share because unvested restricted shares and unvested LTIP units are considered to be participating shares. The LTIP units held by the non-controlling interest holders, which may be converted to common shares, have been excluded from the denominator of the diluted earnings per common share calculation as there would be no effect on the amounts since limited partners' share of income or loss would also be added back to net income or loss. Unvested restricted shares, unvested long-term incentive plan units and unvested Class A Performance LTIP units that could potentially dilute basic earnings per common share in the future would not be included in the computation of diluted loss per common share, for the periods where a loss has been recorded, because they would have been anti-dilutive for the periods presented. For the three months ended March 31, 2026 and 2025, the Company excluded 1,033,071 and 881,780, respectively, of unvested shares and units as their effect would have been anti-dilutive.</w:t>
      </w:r>
    </w:p>
    <w:p>
      <w:pPr>
        <w:spacing w:after="0" w:line="19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amounts used in calculating basic and diluted net income per common share (in thousands, except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on unvested shares and units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78"/>
        </w:trPr>
        <w:tc>
          <w:tcPr>
            <w:tcW w:w="8000" w:type="dxa"/>
            <w:vAlign w:val="bottom"/>
          </w:tcPr>
          <w:p>
            <w:pPr>
              <w:ind w:left="340"/>
              <w:spacing w:after="0" w:line="177" w:lineRule="exact"/>
              <w:rPr>
                <w:sz w:val="20"/>
                <w:szCs w:val="20"/>
                <w:color w:val="auto"/>
              </w:rPr>
            </w:pPr>
            <w:r>
              <w:rPr>
                <w:rFonts w:ascii="Times New Roman" w:cs="Times New Roman" w:eastAsia="Times New Roman" w:hAnsi="Times New Roman"/>
                <w:sz w:val="18"/>
                <w:szCs w:val="18"/>
                <w:color w:val="auto"/>
              </w:rPr>
              <w:t>Net loss attributable to common shareholders excluding amounts attributable to unvested shares and</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5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61"/>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units</w:t>
            </w:r>
          </w:p>
        </w:tc>
        <w:tc>
          <w:tcPr>
            <w:tcW w:w="30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520" w:type="dxa"/>
            <w:vAlign w:val="bottom"/>
            <w:gridSpan w:val="2"/>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47,251,535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48,960,924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Unvested shares and units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47,251,535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48,960,924</w:t>
            </w: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loss per common share:</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common shareholders per weighted average basic common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loss per common share:</w:t>
            </w:r>
          </w:p>
        </w:tc>
        <w:tc>
          <w:tcPr>
            <w:tcW w:w="3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common shareholders per weighted average diluted common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maintains its Equity Incentive Plan to attract and retain independent trustees, executive officers and other key employees. The plan provides for the grant of options to purchase common shares, share awards, share appreciation rights, performance units and other equity-based awards. The plan was amended on May 6, 2025 to increase the maximum number of shares available under the plan by 2,150,000 shares and to increase the individual grant limit with respect to performance units. The plan has a 10-year term that expires on March 22, 2032. Share awards under the plan generally vest over three to five years, though compensation for the Company’s independent trustees includes share grants that vest immediately. The Company pays dividends on unvested shares and units, except for performance-based units, for which 10% of dividends on unvested performance-based units are paid and the remaining 90% of dividends are accrued and not paid until those units vest. Certain awards may provide for accelerated vesting if there is a change in control. In January 2026 and 2025, the Company issued 61,699 and 61,551 common shares, respectively, to its independent trustees as compensation for services performed in 2025 and 2024, respectively. As of March 31, 2026, there were 1,788,449 common shares available for issuance under the Equity Incentive Plan.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Restricted Share Awards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award restricted shares under the Equity Incentive Plan as compensation to officers, employees and non-employee trustees. The Company recognizes compensation expense for the restricted shares on a straight-line basis over the vesting period based on the fair market value of the shares on the date of issuance.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restricted share awards for the three months ended March 31, 2026 and the year ended December 31, 2025 is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70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26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522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262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7"/>
        </w:trPr>
        <w:tc>
          <w:tcPr>
            <w:tcW w:w="5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522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18"/>
                <w:szCs w:val="18"/>
                <w:color w:val="auto"/>
              </w:rPr>
            </w:pPr>
          </w:p>
        </w:tc>
        <w:tc>
          <w:tcPr>
            <w:tcW w:w="12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6"/>
        </w:trPr>
        <w:tc>
          <w:tcPr>
            <w:tcW w:w="5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Date Fair</w:t>
            </w:r>
          </w:p>
        </w:tc>
      </w:tr>
      <w:tr>
        <w:trPr>
          <w:trHeight w:val="238"/>
        </w:trPr>
        <w:tc>
          <w:tcPr>
            <w:tcW w:w="5220" w:type="dxa"/>
            <w:vAlign w:val="bottom"/>
          </w:tcPr>
          <w:p>
            <w:pPr>
              <w:spacing w:after="0"/>
              <w:rPr>
                <w:sz w:val="20"/>
                <w:szCs w:val="20"/>
                <w:color w:val="auto"/>
              </w:rPr>
            </w:pPr>
          </w:p>
        </w:tc>
        <w:tc>
          <w:tcPr>
            <w:tcW w:w="1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beginning of the period</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10.91</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8.08</w:t>
            </w:r>
          </w:p>
        </w:tc>
      </w:tr>
      <w:tr>
        <w:trPr>
          <w:trHeight w:val="216"/>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end of the period</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8.78</w:t>
            </w:r>
          </w:p>
        </w:tc>
      </w:tr>
      <w:tr>
        <w:trPr>
          <w:trHeight w:val="20"/>
        </w:trPr>
        <w:tc>
          <w:tcPr>
            <w:tcW w:w="5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and December 31, 2025, there were $114 thousand and $60 thousand, respectively, of unrecognized compensation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restricted share awards. As of March 31, 2026, these costs were expected to be recognized over a weighted-average period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2.4 years. For the three months ended March 31, 2026 and 2025, the Company recognized approximately $11 thousand and $7 thousand,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of expense related to the restricted share awards.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Incentive Plan Awards</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LTIP units are a special class of partnership interests in the Operating Partnership which may be issued to eligible participants for the performance of services to or for the benefit of the Company. Under the Equity Incentive Plan, each LTIP unit issued is deemed equivalent to an award of one common share thereby reducing the number of shares available for other equity awards on a one-for-one basis.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LTIP unit awards for the three months ended March 31, 2026 and the year ended December 31, 2025 is as follows:</w:t>
      </w:r>
    </w:p>
    <w:p>
      <w:pPr>
        <w:sectPr>
          <w:pgSz w:w="11900" w:h="16838" w:orient="portrait"/>
          <w:cols w:equalWidth="0" w:num="1">
            <w:col w:w="11240"/>
          </w:cols>
          <w:pgMar w:left="320" w:top="121" w:right="339"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Non-vested at beginning of the period</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Forfeited</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Non-vested at end of the period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Time-Based LTIP Awards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26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27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262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7"/>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18"/>
                <w:szCs w:val="18"/>
                <w:color w:val="auto"/>
              </w:rPr>
            </w:pPr>
          </w:p>
        </w:tc>
        <w:tc>
          <w:tcPr>
            <w:tcW w:w="12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Date Fair</w:t>
            </w:r>
          </w:p>
        </w:tc>
      </w:tr>
      <w:tr>
        <w:trPr>
          <w:trHeight w:val="238"/>
        </w:trPr>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1"/>
        </w:trPr>
        <w:tc>
          <w:tcPr>
            <w:tcW w:w="13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1,377,563</w:t>
            </w:r>
          </w:p>
        </w:tc>
        <w:tc>
          <w:tcPr>
            <w:tcW w:w="1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11.08</w:t>
            </w:r>
          </w:p>
        </w:tc>
        <w:tc>
          <w:tcPr>
            <w:tcW w:w="12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1,139,564</w:t>
            </w:r>
          </w:p>
        </w:tc>
        <w:tc>
          <w:tcPr>
            <w:tcW w:w="10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13.88</w:t>
            </w:r>
          </w:p>
        </w:tc>
      </w:tr>
      <w:tr>
        <w:trPr>
          <w:trHeight w:val="216"/>
        </w:trPr>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664,724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634,293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(315,563)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14.31</w:t>
            </w:r>
          </w:p>
        </w:tc>
      </w:tr>
      <w:tr>
        <w:trPr>
          <w:trHeight w:val="234"/>
        </w:trPr>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(80,731)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18.58</w:t>
            </w:r>
          </w:p>
        </w:tc>
      </w:tr>
      <w:tr>
        <w:trPr>
          <w:trHeight w:val="209"/>
        </w:trPr>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1,582,910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1,377,563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-3319145</wp:posOffset>
            </wp:positionH>
            <wp:positionV relativeFrom="paragraph">
              <wp:posOffset>-719455</wp:posOffset>
            </wp:positionV>
            <wp:extent cx="67722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-445135</wp:posOffset>
            </wp:positionV>
            <wp:extent cx="67722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-161925</wp:posOffset>
            </wp:positionV>
            <wp:extent cx="677227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4840" w:space="720"/>
            <w:col w:w="5680"/>
          </w:cols>
          <w:pgMar w:left="320" w:top="121" w:right="339" w:bottom="177" w:gutter="0" w:footer="0" w:header="0"/>
          <w:type w:val="continuous"/>
        </w:sectPr>
      </w:pPr>
    </w:p>
    <w:p>
      <w:pPr>
        <w:spacing w:after="0" w:line="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March 1, 2026, the Company’s Operating Partnership, upon the recommendation of the Compensation Committee, granted 265,890 time-based LTIP unit awards (the “2026 Time-Based LTIP Unit Award”). The grants were made pursuant to award agreements that provide for time-based vesting (the "LTIP Unit Time-Based Vesting Agreement").</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Time-based LTIP unit awards will vest ratably provided that the recipient remains employed by the Company through the applicable vesting date, subject to acceleration of vesting in the event of the recipient’s death, disability, termination without cause or resignation with good reason, or in the event of a change of control of the Company. Prior to vesting, a holder is entitled to receive distributions on the LTIP units that comprise the 2026 Time-Based LTIP Unit Awards and the prior year LTIP unit awards set forth in the table above.</w:t>
      </w:r>
    </w:p>
    <w:p>
      <w:pPr>
        <w:sectPr>
          <w:pgSz w:w="11900" w:h="16838" w:orient="portrait"/>
          <w:cols w:equalWidth="0" w:num="1">
            <w:col w:w="11240"/>
          </w:cols>
          <w:pgMar w:left="320" w:top="121" w:right="339" w:bottom="177" w:gutter="0" w:footer="0" w:header="0"/>
          <w:type w:val="continuous"/>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77"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Performance-Based LTIP Awards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1, 2026, the Company's Operating Partnership, upon the recommendation of the Compensation Committee, also granted</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398,834 performance-based LTIP unit awards (the "2026 Performance-Based LTIP Unit Awards"). The grants were made pursuant to award agreements that have market-based vesting conditions. The Performance-Based LTIP Unit Awards are comprised of Class A Performance LTIP Units that will vest only if and to the extent that (i) the Company achieves certain long-term market-based total shareholder return ("TSR") criteria established by the Compensation Committee and (ii) the recipient remains employed by the Company through the applicable vesting date, subject to acceleration of vesting in the event of the recipient’s death, disability, termination without cause or resignation with good reason, or in the event of a change of control of the Company. Compensation expense is based on an estimated value of $9.12 per 2026 Performance-Based LTIP Unit Award, which takes into account that the number of units that ultimately may vest will depend on the achievement of long-term market-based TSR criteria. The 2026 Performance-Based LTIP Unit Awards have an absolute negative TSR modifier which may reduce payout percentages if the absolute TSR over the measurement period is negative.</w:t>
      </w:r>
    </w:p>
    <w:p>
      <w:pPr>
        <w:spacing w:after="0" w:line="194"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2026 Performance-Based LTIP Unit Awards may be earned based on the Company’s relative TSR performance for the three-year period beginning on March 1, 2026 and ending on February 28, 2029. The 2026 Performance-Based LTIP Unit Awards, if earned, will be paid out between 50% and 200% of target value as follows:</w:t>
      </w:r>
    </w:p>
    <w:p>
      <w:pPr>
        <w:spacing w:after="0" w:line="172"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Relative TSR Hurdles (Percentile)</w:t>
            </w:r>
          </w:p>
        </w:tc>
        <w:tc>
          <w:tcPr>
            <w:tcW w:w="100" w:type="dxa"/>
            <w:vAlign w:val="bottom"/>
          </w:tcPr>
          <w:p>
            <w:pPr>
              <w:spacing w:after="0"/>
              <w:rPr>
                <w:sz w:val="20"/>
                <w:szCs w:val="20"/>
                <w:color w:val="auto"/>
              </w:rPr>
            </w:pPr>
          </w:p>
        </w:tc>
        <w:tc>
          <w:tcPr>
            <w:tcW w:w="24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Payout Percentage</w:t>
            </w:r>
          </w:p>
        </w:tc>
        <w:tc>
          <w:tcPr>
            <w:tcW w:w="520" w:type="dxa"/>
            <w:vAlign w:val="bottom"/>
            <w:tcBorders>
              <w:bottom w:val="single" w:sz="8" w:color="auto"/>
            </w:tcBorders>
          </w:tcPr>
          <w:p>
            <w:pPr>
              <w:spacing w:after="0"/>
              <w:rPr>
                <w:sz w:val="20"/>
                <w:szCs w:val="20"/>
                <w:color w:val="auto"/>
              </w:rPr>
            </w:pPr>
          </w:p>
        </w:tc>
      </w:tr>
      <w:tr>
        <w:trPr>
          <w:trHeight w:val="210"/>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Threshold</w:t>
            </w: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25th</w:t>
            </w:r>
          </w:p>
        </w:tc>
        <w:tc>
          <w:tcPr>
            <w:tcW w:w="258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50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Target</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55th</w:t>
            </w:r>
          </w:p>
        </w:tc>
        <w:tc>
          <w:tcPr>
            <w:tcW w:w="25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w:t>
            </w: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80th</w:t>
            </w:r>
          </w:p>
        </w:tc>
        <w:tc>
          <w:tcPr>
            <w:tcW w:w="2580" w:type="dxa"/>
            <w:vAlign w:val="bottom"/>
            <w:gridSpan w:val="2"/>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200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Payouts at performance levels in between the hurdles will be calculated by straight-line interpolation.</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estimated the aggregate compensation cost to be recognized over the service period determined as of the grant date under ASC 718, excluding the effect of estimated forfeitures, using a Monte Carlo approach. In determining the discounted value of the LTIP units, the Company considered the inherent uncertainty that the LTIP units would never reach parity with the other common units of the Operating Partnership and thus have an economic value of zero to the grantee. Additional factors considered in estimating the value of LTIP units included discounts for illiquidity, expectations for future dividends, risk free interest rates, stock price volatility, and economic environment and market conditions.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grant date fair values of the LTIPs and the assumptions used to estimate the values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12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420" w:type="dxa"/>
            <w:vAlign w:val="bottom"/>
          </w:tcPr>
          <w:p>
            <w:pPr>
              <w:spacing w:after="0"/>
              <w:rPr>
                <w:sz w:val="18"/>
                <w:szCs w:val="18"/>
                <w:color w:val="auto"/>
              </w:rPr>
            </w:pP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Dividend</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Risk Free</w:t>
            </w:r>
          </w:p>
        </w:tc>
      </w:tr>
      <w:tr>
        <w:trPr>
          <w:trHeight w:val="238"/>
        </w:trPr>
        <w:tc>
          <w:tcPr>
            <w:tcW w:w="4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Units Granted</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Interest Rate</w:t>
            </w:r>
          </w:p>
        </w:tc>
      </w:tr>
      <w:tr>
        <w:trPr>
          <w:trHeight w:val="210"/>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Time-Based LTIP Unit Awards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152,004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12.33</w:t>
            </w: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Performance-Based LTIP Unit Awards (1)</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228,000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18.58</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Time-Based LTIP Unit Awards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3/1/2023</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171,171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11.11</w:t>
            </w: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Performance-Based LTIP Unit Awards (2)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3/1/2023</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256,757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16.64</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Time-Based LTIP Unit Awards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3/1/2024</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204,909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9.33</w:t>
            </w: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LTIP Unit Awards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3/1/2024</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307,355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12.42</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2025</w:t>
            </w: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Time-Based LTIP Unit Awards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3/1/2025</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253,722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7.44</w:t>
            </w: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2025</w:t>
            </w: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LTIP Unit Awards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3/1/2025</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380,571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9.37</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2026</w:t>
            </w: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Time-Based LTIP Unit Awards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3/1/2026</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265,890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7.08</w:t>
            </w: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4"/>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2026</w:t>
            </w: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LTIP Unit Awards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3/1/2026</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398,834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9.12</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bl>
    <w:p>
      <w:pPr>
        <w:spacing w:after="0" w:line="179" w:lineRule="exact"/>
        <w:rPr>
          <w:sz w:val="20"/>
          <w:szCs w:val="20"/>
          <w:color w:val="auto"/>
        </w:rPr>
      </w:pPr>
    </w:p>
    <w:p>
      <w:pPr>
        <w:ind w:right="320" w:firstLine="8"/>
        <w:spacing w:after="0" w:line="28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following the end of the measurement period, the Company’s TSR met certain criteria and based on the Company’s TSR over the measurement period, 142,905 LTIP units vested.</w:t>
      </w:r>
    </w:p>
    <w:p>
      <w:pPr>
        <w:spacing w:after="0" w:line="161" w:lineRule="exact"/>
        <w:rPr>
          <w:rFonts w:ascii="Times New Roman" w:cs="Times New Roman" w:eastAsia="Times New Roman" w:hAnsi="Times New Roman"/>
          <w:sz w:val="18"/>
          <w:szCs w:val="18"/>
          <w:color w:val="auto"/>
        </w:rPr>
      </w:pPr>
    </w:p>
    <w:p>
      <w:pPr>
        <w:ind w:right="320" w:firstLine="8"/>
        <w:spacing w:after="0" w:line="28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following the end of the measurement period, the Company’s TSR did not meet certain criteria and based on the Company’s TSR over the measurement period, zero LTIP units vested.</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$1.4 million and $1.5 million in compensation expense related to the LTIP units for the three months ended March 31, 2026 and 2025, respectively. As of March 31, 2026 and December 31, 2025, there was $10.6 million and $6.5 million, respectively, of total unrecognized compensation cost related to LTIP units. This cost is expected to be recognized over approximately 2.3 years, which represents the weighted-average remaining vesting period of the LTIP units.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is the lessee under ground, property, air rights, garage and office lease agreements for certain of its properties. The Company's leases are classified as operating or finance leases. The Company recognizes a ROU asset and lease liability at the estimated present value of the minimum lease payments over the lease term. These leases typically provide multi-year renewal options to extend the term as lessee at the Company's option. Option periods are included in the calculation of the lease obligation liability only when options are reasonably certain to be exercised.</w:t>
      </w:r>
    </w:p>
    <w:p>
      <w:pPr>
        <w:spacing w:after="0" w:line="180"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In calculating the Company's lease obligations under the various leases, the Company uses discount rates estimated to be equal to what the Company would have to pay to borrow on a collateralized basis over a similar term, for an amount equal to the lease payments, in a similar economic environment. Lease obligations are based on contractually required cash payments, while lease expense is recognized on a straight-line basis for its operating leases and as interest expense on the lease liability for its finance lease.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Residence Inn Gaslamp hotel property is subject to a ground lease with an expiration date of January 31, 2065 with an extension option by the Company of up to three additional terms of ten years each. Monthly payments are currently approximately $49 thousand per month and increase 10% every five years. The hotel is subject to annual supplemental rent payments calculated as 5% of gross revenues during the applicable lease year, minus 12 times the monthly base rent scheduled for the lease year.</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Residence Inn New Rochelle hotel property is subject to an air rights lease and garage lease that each expire on December 1, 2104. The lease agreements with the City of New Rochelle cover the space above the parking garage that is occupied by the hotel as well as 128 parking spaces in a parking garage that is attached to the hotel. The annual base rent for the garage lease is the hotel’s proportionate share of the city’s adopted budget for the operations, management and maintenance of the garage and established reserves to fund for the cost of capital repairs. Aggregate rent for 2026 is approximately $33 thousand per quarter.</w:t>
      </w:r>
    </w:p>
    <w:p>
      <w:pPr>
        <w:spacing w:after="0" w:line="18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Hilton Garden Inn Marina del Rey hotel property is subject to a ground lease with an expiration date of December 31, 2067. Minimum monthly payments are currently approximately $47 thousand per month and a percentage rent payment less the minimum rent is due in arrears equal to 5% to 25% of gross income based on the type of income.</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entered into a corporate office lease in September 2015. The lease is for a term of 11 years and includes a 12-month rent abatement period and certain tenant improvement allowances. The Company has a renewal option of up to two successive terms of five years each. On June 1, 2023, the Company executed an amendment to the corporate office lease to vacate and surrender possession of 7,374 rentable square feet in exchange for an early termination payment of $0.1 million. The partial termination of this lease required the Company to apply ASC 842 and remeasure the right of use asset and lease liability and recognize those adjustments in the consolidated statement of operations. The Company shares the space with a related party and is reimbursed for the pro-rata share of rentable space occupied by the related party.</w:t>
      </w:r>
    </w:p>
    <w:p>
      <w:pPr>
        <w:spacing w:after="0" w:line="18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entered into a new 10-year corporate office lease in May 2024, which was subsequently amended in September 2024, that will commence when the Company takes possession of the space for leasehold improvements, on or before September 1, 2026. Annual base rent will range from $0.6 million to $0.7 million over the term of the lease. The new office lease will be shared with a related party and the Company will be reimbursed for the pro-rata share of rentable space that will be occupied by the related party.</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Company made $0.3 million of fixed lease payments and $0.2 million of variable lease payments, which are included in property taxes, ground rent and insurance in our consolidated statement of operations. For the three months ended March 31, 2026, the Company made $0.2 million of fixed lease payments related to its corporate office lease, which is included in general and administrative expense in our consolidated statement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Home2 Phoenix hotel property is subject to a Government Property Lease Excise Tax ("GPLET") agreement with the City of Phoenix. As part of the agreement, title of the hotel property was conveyed to the City of Phoenix and leased back to the Company for a term of 8 years with fixed annual rent payments ranging from $26 thousand to $81 thousand. Title of the hotel property will be re-conveyed to the Company at no cost at the expiration of the 8-year lease term. The GPLET agreement can be terminated by the lessee at any time for a fee of $0.1 million and title of the hotel property would be re-conveyed back to the Company.</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Home2 Phoenix ROU assets are recorded as finance lease assets within Investment in hotel properties, net and the lease liability is recorded within Lease liability in the Company’s consolidated balance sheet. Expenses related to the finance lease are included in depreciation and amortization and interest expense, in the Company’s consolidated statement of operations.</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information regarding the ROU assets and lease liabilities of the Company as of March 31, 2026 and December 31,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ROU Asset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ROU Asset</w:t>
            </w:r>
          </w:p>
        </w:tc>
      </w:tr>
      <w:tr>
        <w:trPr>
          <w:trHeight w:val="238"/>
        </w:trPr>
        <w:tc>
          <w:tcPr>
            <w:tcW w:w="1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 Classification</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as of March 31, 2026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210"/>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assets, net</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Investment in hotel properties, net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40,491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40,943</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Right of use asset, net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16,746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16,912</w:t>
            </w:r>
          </w:p>
        </w:tc>
      </w:tr>
      <w:tr>
        <w:trPr>
          <w:trHeight w:val="249"/>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ROU asset, net</w:t>
            </w:r>
          </w:p>
        </w:tc>
        <w:tc>
          <w:tcPr>
            <w:tcW w:w="36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57,237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57,855</w:t>
            </w:r>
          </w:p>
        </w:tc>
      </w:tr>
      <w:tr>
        <w:trPr>
          <w:trHeight w:val="606"/>
        </w:trPr>
        <w:tc>
          <w:tcPr>
            <w:tcW w:w="1300" w:type="dxa"/>
            <w:vAlign w:val="bottom"/>
            <w:tcBorders>
              <w:top w:val="single" w:sz="8" w:color="CCEEFF"/>
            </w:tcBorders>
          </w:tcPr>
          <w:p>
            <w:pPr>
              <w:spacing w:after="0"/>
              <w:rPr>
                <w:sz w:val="24"/>
                <w:szCs w:val="24"/>
                <w:color w:val="auto"/>
              </w:rPr>
            </w:pPr>
          </w:p>
        </w:tc>
        <w:tc>
          <w:tcPr>
            <w:tcW w:w="1640" w:type="dxa"/>
            <w:vAlign w:val="bottom"/>
            <w:tcBorders>
              <w:top w:val="single" w:sz="8" w:color="CCEEFF"/>
            </w:tcBorders>
          </w:tcPr>
          <w:p>
            <w:pPr>
              <w:spacing w:after="0"/>
              <w:rPr>
                <w:sz w:val="24"/>
                <w:szCs w:val="24"/>
                <w:color w:val="auto"/>
              </w:rPr>
            </w:pPr>
          </w:p>
        </w:tc>
        <w:tc>
          <w:tcPr>
            <w:tcW w:w="36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Lease Liability</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Lease Liability</w:t>
            </w:r>
          </w:p>
        </w:tc>
      </w:tr>
      <w:tr>
        <w:trPr>
          <w:trHeight w:val="238"/>
        </w:trPr>
        <w:tc>
          <w:tcPr>
            <w:tcW w:w="1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 Classification</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as of March 31, 2026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209"/>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liability</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 liability</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19,631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19,784</w:t>
            </w:r>
          </w:p>
        </w:tc>
      </w:tr>
      <w:tr>
        <w:trPr>
          <w:trHeight w:val="230"/>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liability</w:t>
            </w:r>
          </w:p>
        </w:tc>
        <w:tc>
          <w:tcPr>
            <w:tcW w:w="3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19,921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20,067</w:t>
            </w: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r>
        <w:trPr>
          <w:trHeight w:val="628"/>
        </w:trPr>
        <w:tc>
          <w:tcPr>
            <w:tcW w:w="13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0" w:type="dxa"/>
            <w:vAlign w:val="bottom"/>
            <w:gridSpan w:val="5"/>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10"/>
        </w:trPr>
        <w:tc>
          <w:tcPr>
            <w:tcW w:w="1300" w:type="dxa"/>
            <w:vAlign w:val="bottom"/>
          </w:tcPr>
          <w:p>
            <w:pPr>
              <w:spacing w:after="0"/>
              <w:rPr>
                <w:sz w:val="18"/>
                <w:szCs w:val="18"/>
                <w:color w:val="auto"/>
              </w:rPr>
            </w:pPr>
          </w:p>
        </w:tc>
        <w:tc>
          <w:tcPr>
            <w:tcW w:w="5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41.92</w:t>
            </w:r>
          </w:p>
        </w:tc>
        <w:tc>
          <w:tcPr>
            <w:tcW w:w="96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960" w:type="dxa"/>
            <w:vAlign w:val="bottom"/>
          </w:tcPr>
          <w:p>
            <w:pPr>
              <w:spacing w:after="0"/>
              <w:rPr>
                <w:sz w:val="20"/>
                <w:szCs w:val="20"/>
                <w:color w:val="auto"/>
              </w:rPr>
            </w:pPr>
          </w:p>
        </w:tc>
      </w:tr>
    </w:tbl>
    <w:p>
      <w:pPr>
        <w:spacing w:after="0" w:line="17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information regarding the Company's total minimum lease payments for which it is the lessee, as of March 31, 2026, for each of the next five calendar years and thereafter (in thousands):</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Future Lease Payments</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59,765</w:t>
            </w: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(46,520)</w:t>
            </w:r>
          </w:p>
        </w:tc>
      </w:tr>
      <w:tr>
        <w:trPr>
          <w:trHeight w:val="250"/>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19,921</w:t>
            </w:r>
          </w:p>
        </w:tc>
      </w:tr>
    </w:tbl>
    <w:p>
      <w:pPr>
        <w:spacing w:after="0" w:line="200" w:lineRule="exact"/>
        <w:rPr>
          <w:sz w:val="20"/>
          <w:szCs w:val="20"/>
          <w:color w:val="auto"/>
        </w:rPr>
      </w:pPr>
    </w:p>
    <w:p>
      <w:pPr>
        <w:spacing w:after="0" w:line="237" w:lineRule="exact"/>
        <w:rPr>
          <w:sz w:val="20"/>
          <w:szCs w:val="20"/>
          <w:color w:val="auto"/>
        </w:rPr>
      </w:pPr>
    </w:p>
    <w:p>
      <w:pPr>
        <w:ind w:left="660" w:right="8040" w:hanging="652"/>
        <w:spacing w:after="0" w:line="503"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Litigation</w:t>
      </w: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lawsuits and legal proceedings, including routine litigation arising in the ordinary course of business, regarding the operation of its hotels, its managers and other Company matters. While it is not possible to ascertain the ultimate outcome of such matters, the Company believes that the aggregate identifiable amount of such liabilities, if any, will not have a material adverse impact on its financial condition or results of operations.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Management Agreements</w:t>
      </w:r>
    </w:p>
    <w:p>
      <w:pPr>
        <w:spacing w:after="0" w:line="22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management agreements with IHM have an initial term of five years and automatically renew for two five-year periods unless IHM provides written notice to us no later than 90 days prior to the then current term’s expiration date of its intent not to renew. The IHM management agreements provide for early termination at the Company’s option upon sale of any IHM-managed hotel for no termination fee, with six months advance notice. The IHM management agreements may be terminated for cause, including the failure of the managed hotel to meet specified performance levels. Base management fees are calculated as a percentage of the hotel's gross room revenue. If certain financial thresholds are met or exceeded, an incentive management fee is calculated as 10% of the hotel's net operating income less fixed costs, base management fees and a specified return threshold. The incentive management fee is capped at 1% of gross hotel revenues for the applicable calculation.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fees totaled approximately $2.3 million and $2.3 million for the three months ended March 31, 2026 and 2025, respectively.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Franchise Agreements</w:t>
      </w:r>
    </w:p>
    <w:p>
      <w:pPr>
        <w:spacing w:after="0" w:line="227"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The fees associated with the franchise agreements are calculated as a specified percentage of the hotel's gross room revenue. Franchise and marketing fees totaled approximately $5.3 million and $5.4 million for the three months ended March 31, 2026 and 2025, respectively. The initial term of</w:t>
      </w:r>
    </w:p>
    <w:p>
      <w:pPr>
        <w:sectPr>
          <w:pgSz w:w="11900" w:h="16881" w:orient="portrait"/>
          <w:cols w:equalWidth="0" w:num="1">
            <w:col w:w="11240"/>
          </w:cols>
          <w:pgMar w:left="320" w:top="121" w:right="339" w:bottom="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auto"/>
        </w:rPr>
        <w:t>the agreements range from 10 to 30 years with the weighted-average expiration being June 2038.</w:t>
      </w:r>
    </w:p>
    <w:p>
      <w:pPr>
        <w:sectPr>
          <w:pgSz w:w="11900" w:h="16838" w:orient="portrait"/>
          <w:cols w:equalWidth="0" w:num="1">
            <w:col w:w="10139"/>
          </w:cols>
          <w:pgMar w:left="320" w:top="121" w:right="1440" w:bottom="1440" w:gutter="0" w:footer="0" w:header="0"/>
        </w:sectPr>
      </w:pP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right="140" w:firstLine="648"/>
        <w:spacing w:after="0" w:line="272" w:lineRule="auto"/>
        <w:rPr>
          <w:sz w:val="20"/>
          <w:szCs w:val="20"/>
          <w:color w:val="auto"/>
        </w:rPr>
      </w:pPr>
      <w:r>
        <w:rPr>
          <w:rFonts w:ascii="Times New Roman" w:cs="Times New Roman" w:eastAsia="Times New Roman" w:hAnsi="Times New Roman"/>
          <w:sz w:val="17"/>
          <w:szCs w:val="17"/>
          <w:color w:val="auto"/>
        </w:rPr>
        <w:t>As of March 31, 2026, Jeffrey H. Fisher, the Company's Chairman, President and Chief Executive Officer, owns 100% of IHM. As of March 31, 2026, the Company had hotel management agreements with IHM to manage all 39 of its hotels. Hotel management, revenue management and accounting fees accrued or paid to IHM for the hotels owned by the Company for the three months ended March 31, 2026 and 2025 were $2.3 million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million, respectively. At March 31, 2026 and December 31, 2025, the amounts due to IHM were $0.7 million and $0.2 million, respectively.</w:t>
      </w:r>
    </w:p>
    <w:p>
      <w:pPr>
        <w:spacing w:after="0" w:line="207"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8"/>
          <w:szCs w:val="18"/>
          <w:color w:val="auto"/>
        </w:rPr>
        <w:t>Cost reimbursements from related parties revenue represent reimbursements of costs incurred on behalf of IHM. These costs relate primarily to office expenses shared with IHM. Various shared office expenses and rent are paid by the Company and allocated to IHM based on the amount of square footage occupied by each entity. As the Company records cost reimbursements based upon costs incurred with no added markup, the revenue and related expense has no impact on the Company’s operating income or net income. Cost reimbursements are recorded based upon the occurrence of a reimbursed activity.</w:t>
      </w:r>
    </w:p>
    <w:p>
      <w:pPr>
        <w:spacing w:after="0" w:line="200" w:lineRule="exact"/>
        <w:rPr>
          <w:sz w:val="20"/>
          <w:szCs w:val="20"/>
          <w:color w:val="auto"/>
        </w:rPr>
      </w:pPr>
    </w:p>
    <w:p>
      <w:pPr>
        <w:spacing w:after="0" w:line="222"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Management evaluates the Company's hotels as a single reportable segment as a result of aggregating multiple operating segments, because all of the Company's hotels have similar economic characteristics and provide similar services to similar types of customers. Our single reportable segment comprises the structure used by our Chief Executive Officer, Chief Operating Officer and Chief Financial Officer, who collectively have been determined to be our Chief Operating Decision Maker ("CODM"), to make key operating decisions and assess performance. Our CODM evaluates our single reportable segment's operating performance based on individual hotel property net income (loss) before interest expense, income tax expense, depreciation and amortization, corporate general and administrative expense, impairment loss, loss on early extinguishment of debt, other charges, interest and other income, and gains or losses on sales of hotel properties ("Adjusted Hotel EBITDA"). Our single reportable segment's assets are consistent with total assets included in the Company's consolidated balance sheets.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revenue, significant hotel operating expenses, and Adjusted Hotel EBITDA for the Company’s hotels, reconciled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(in thousands):</w:t>
      </w: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320" w:type="dxa"/>
            <w:vAlign w:val="bottom"/>
            <w:gridSpan w:val="6"/>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Room</w:t>
            </w:r>
          </w:p>
        </w:tc>
        <w:tc>
          <w:tcPr>
            <w:tcW w:w="1940" w:type="dxa"/>
            <w:vAlign w:val="bottom"/>
            <w:gridSpan w:val="2"/>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61,203</w:t>
            </w:r>
          </w:p>
        </w:tc>
        <w:tc>
          <w:tcPr>
            <w:tcW w:w="100" w:type="dxa"/>
            <w:vAlign w:val="bottom"/>
          </w:tcPr>
          <w:p>
            <w:pPr>
              <w:spacing w:after="0"/>
              <w:rPr>
                <w:sz w:val="18"/>
                <w:szCs w:val="18"/>
                <w:color w:val="auto"/>
              </w:rPr>
            </w:pPr>
          </w:p>
        </w:tc>
        <w:tc>
          <w:tcPr>
            <w:tcW w:w="420" w:type="dxa"/>
            <w:vAlign w:val="bottom"/>
            <w:gridSpan w:val="2"/>
          </w:tcPr>
          <w:p>
            <w:pPr>
              <w:jc w:val="right"/>
              <w:ind w:right="28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Food and beverage</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hotel property level revenue (1)</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Room</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Food and beverage</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Telephone</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hotel operating</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Franchise and marketing fees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Advertising and promotions</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Utilities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Repairs and maintenance</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 fees paid to related parties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Insurance</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Property taxes, ground rent and insurance</w:t>
            </w:r>
          </w:p>
        </w:tc>
        <w:tc>
          <w:tcPr>
            <w:tcW w:w="10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5,160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hotel property level expenses</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Hotel EBITDA</w:t>
            </w:r>
          </w:p>
        </w:tc>
        <w:tc>
          <w:tcPr>
            <w:tcW w:w="10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20,835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Hotel EBITDA to Net (loss) income</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expense, including amortization of deferred fees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charges</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 on sale of hotel properties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0" w:type="dxa"/>
            <w:vAlign w:val="bottom"/>
          </w:tcPr>
          <w:p>
            <w:pPr>
              <w:spacing w:after="0"/>
              <w:rPr>
                <w:sz w:val="18"/>
                <w:szCs w:val="18"/>
                <w:color w:val="auto"/>
              </w:rPr>
            </w:pP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56"/>
        <w:spacing w:after="0" w:line="282" w:lineRule="auto"/>
        <w:tabs>
          <w:tab w:leader="none" w:pos="9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total hotel property level revenue and total revenue on the consolidated statements of operations is due to reimbursable costs from related parties of $0.3 million and $0.3 million for the three months ended March 31, 2026 and 2025, respectively.</w:t>
      </w:r>
    </w:p>
    <w:p>
      <w:pPr>
        <w:sectPr>
          <w:pgSz w:w="11900" w:h="16838" w:orient="portrait"/>
          <w:cols w:equalWidth="0" w:num="1">
            <w:col w:w="11200"/>
          </w:cols>
          <w:pgMar w:left="320" w:top="121" w:right="379" w:bottom="528" w:gutter="0" w:footer="0" w:header="0"/>
        </w:sectPr>
      </w:pP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528"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40" w:hanging="632"/>
        <w:spacing w:after="0"/>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April 2026, the Company repurchased 195,000 common shares at a weighted-average price per share of $8.34 under its Share Repurchase Program for an aggregate purchase price of approximately $1.6 million.</w:t>
      </w:r>
    </w:p>
    <w:p>
      <w:pPr>
        <w:spacing w:after="0" w:line="16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consolidated financial statements and related notes included elsewhere in this report and in our Annual Report on Form 10-K for the year ended December 31, 2025. In this report, we use the terms “the Company,” “we” or “our” to refer to Chatham Lodging Trust and its consolidated subsidiaries, unless the context indicates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following information contains forward-looking statements within the meaning of Section 27A of the Securities Act of 1933, as amended (the “Securities Act”), and Section 21E of the Securities Exchange Act of 1934, as amended (the “Exchange Act”). These forward-looking statements include information about possible or assumed future results of the lodging industry and our business, financial condition, liquidity, results of operations, cash flow and plans and objectives. These statements generally are characterized by the use of the words “believe,” “expect,” “anticipate,” “estimate,” “plan,” “continue,” “intend,” “should,” “may,” “will,” “could” or similar expressions. Although we believe that the expectations reflected in such forward-looking statements are based upon reasonable assumptions, such forward-looking statements relate to future events, our plans, strategies, prospects and future financial performance, and involve known and unknown risks that are difficult to predict, uncertainties and other factors that are, in some cases, beyond our control and which could differ materially from those set forth in the forward-looking statements. Important factors that we think could cause our actual results to differ materially from expected results are summarized below. Some factors that might cause such a difference include the following: local, national and global economic conditions, uncertainty surrounding the financial stability of the United States, Europe and China, increased direct competition, changes in government regulations or accounting rules, changes in local, national and global real estate conditions, declines in lodging industry fundamentals, increased operating costs, a potential recessionary environment, seasonality of the lodging industry, our ability to obtain debt and equity financing on satisfactory terms, changes in interest rates, our ability to identify suitable investments, our ability to close on identified investments, inaccuracies of our accounting estimates, the uncertainty and economic impact of pandemics like COVID-19, epidemics or other public health emergencies or fear of such events, the impact of and changes to various government programs, and our ability to dispose of selected hotel properties on the terms and timing we expect, if at all. Given these uncertainties, undue reliance should not be placed on such statements. We undertake no obligation to publicly release the results of any revisions to these forward-looking statements that may be made to reflect future events or circumstances or to reflect the occurrence of unanticipated events. The forward-looking statements should also be read in light of the risk factors identified in the “Risk Factors” section in the Company’s Annual Report on Form 10-K for the year ended December 31, 2025 as updated by the Company's subsequent filings with the SEC under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are a self-advised hotel investment company organized in October 2009 that commenced operations in April 2010. Our investment strategy is to invest in upscale extended-stay and premium-branded select-service hotels in geographically diverse markets with high barriers to entry near strong demand generators. We may acquire portfolios of hotels or single hotels. We expect that a significant portion of our portfolio will consist of hotels in the upscale extended-stay or select-service categories, including brands such as Homewood Suites by Hilton®, Residence Inn by Marriott®, Hyatt Place®, Courtyard by Marriott®, SpringHill Suites by Marriott®, Hilton Garden Inn by Hilton®, Embassy Suites®, Hampton Inn®, Hampton Inn and Suites®, Home2 Suites by Hilton® and TownePlace Suites by Marriott®.</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Company's future hotel acquisitions may be funded by issuances of both common and preferred shares or the issuance of partnership interests in our operating partnership, Chatham Lodging, L.P. (the "Operating Partnership"), draw-downs under our revolving credit facility, the incurrence or assumption of debt, available cash, or proceeds from dispositions of assets. We intend to acquire quality assets at attractive prices and improve their returns through knowledgeable asset management and seasoned, proven hotel management while remaining prudently leveraged.</w:t>
      </w:r>
    </w:p>
    <w:p>
      <w:pPr>
        <w:spacing w:after="0" w:line="18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At March 31, 2026, our leverage ratio was 24.6% measured as the ratio of our net debt (total debt outstanding before deferred financing costs less unrestricted cash and cash equivalents) to hotel investments at cost. Over the past several years, we have maintained a leverage ratio between the low 20s and the low 50s. As of March 31, 2026, we have total debt of $428.2 million at a weighted-average interest rate of approximately 5.84%.</w:t>
      </w:r>
    </w:p>
    <w:p>
      <w:pPr>
        <w:spacing w:after="0" w:line="17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are a real estate investment trust (“REIT”) for federal income tax purposes. In order to qualify as a REIT under the Internal Revenue Code of 1986, as amended (the “Code”), we cannot operate our hotels. Therefore, the Operating Partnership and its subsidiaries lease our hotel properties to taxable REIT subsidiary lessees (“TRS Lessees”), who in turn engage eligible independent contractors to manage the hotels. Each of the TRS Lessees is treated as a taxable REIT subsidiary for federal income tax purposes and is consolidated within our financial statements for accounting purposes. However, since we control both the Operating Partnership and the TRS Lessees, our principal source of funds on a consolidated basis is from the operations of our hotels. The earnings of the TRS Lessees are subject to taxation as regular C corporations, as defined in the Code, potentially reducing the TRS Lessees’ cash available to pay dividends to us, and therefore our funds from operations and the cash available for distribution to our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Indicators of Operating Performance and Financial Condition</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We measure financial condition and hotel operating performance by evaluating non-financial and financial metrics and measures such as:</w:t>
      </w:r>
    </w:p>
    <w:p>
      <w:pPr>
        <w:spacing w:after="0" w:line="225" w:lineRule="exact"/>
        <w:rPr>
          <w:sz w:val="20"/>
          <w:szCs w:val="20"/>
          <w:color w:val="auto"/>
        </w:rPr>
      </w:pPr>
    </w:p>
    <w:p>
      <w:pPr>
        <w:ind w:left="1220" w:hanging="321"/>
        <w:spacing w:after="0"/>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which is the quotient of room revenue divided by total rooms sold;</w:t>
      </w:r>
    </w:p>
    <w:p>
      <w:pPr>
        <w:spacing w:after="0" w:line="27"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which is the quotient of total rooms sold divided by total rooms available;</w:t>
      </w:r>
    </w:p>
    <w:p>
      <w:pPr>
        <w:spacing w:after="0" w:line="9" w:lineRule="exact"/>
        <w:rPr>
          <w:rFonts w:ascii="Times New Roman" w:cs="Times New Roman" w:eastAsia="Times New Roman" w:hAnsi="Times New Roman"/>
          <w:sz w:val="18"/>
          <w:szCs w:val="18"/>
          <w:color w:val="auto"/>
        </w:rPr>
      </w:pPr>
    </w:p>
    <w:p>
      <w:pPr>
        <w:ind w:left="1220" w:right="40" w:hanging="321"/>
        <w:spacing w:after="0" w:line="250" w:lineRule="auto"/>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which is the product of occupancy and ADR, and does not include food and beverage revenue, or other operating revenue;</w:t>
      </w:r>
    </w:p>
    <w:p>
      <w:pPr>
        <w:ind w:left="1220" w:hanging="321"/>
        <w:spacing w:after="0"/>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w:t>
      </w:r>
    </w:p>
    <w:p>
      <w:pPr>
        <w:spacing w:after="0" w:line="9"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FFO;</w:t>
      </w:r>
    </w:p>
    <w:p>
      <w:pPr>
        <w:spacing w:after="0" w:line="9"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depreciation and amortization (“EBITDA”);</w:t>
      </w:r>
    </w:p>
    <w:p>
      <w:pPr>
        <w:spacing w:after="0" w:line="9"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18"/>
          <w:szCs w:val="18"/>
          <w:i w:val="1"/>
          <w:iCs w:val="1"/>
          <w:color w:val="auto"/>
        </w:rPr>
        <w:t>re;</w:t>
      </w:r>
    </w:p>
    <w:p>
      <w:pPr>
        <w:spacing w:after="0" w:line="9"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w:t>
      </w:r>
    </w:p>
    <w:p>
      <w:pPr>
        <w:spacing w:after="0" w:line="9"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Hotel EBITDA.</w:t>
      </w:r>
    </w:p>
    <w:p>
      <w:pPr>
        <w:spacing w:after="0" w:line="207"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We evaluate the hotels in our portfolio and potential acquisitions using these metrics to determine each hotel’s contribution toward providing income to our shareholders through increases in distributable cash flow and increasing long-term total returns through appreciation in the value of our common shares. RevPAR, ADR and Occupancy are hotel industry measures commonly used to evaluate operating performance.</w:t>
      </w:r>
    </w:p>
    <w:p>
      <w:pPr>
        <w:sectPr>
          <w:pgSz w:w="11900" w:h="16838" w:orient="portrait"/>
          <w:cols w:equalWidth="0" w:num="1">
            <w:col w:w="11240"/>
          </w:cols>
          <w:pgMar w:left="320" w:top="121" w:right="339" w:bottom="0" w:gutter="0" w:footer="0" w:header="0"/>
        </w:sectPr>
      </w:pPr>
    </w:p>
    <w:bookmarkStart w:id="20" w:name="page21"/>
    <w:bookmarkEnd w:id="20"/>
    <w:p>
      <w:pPr>
        <w:ind w:firstLine="648"/>
        <w:spacing w:after="0" w:line="284" w:lineRule="auto"/>
        <w:rPr>
          <w:sz w:val="20"/>
          <w:szCs w:val="20"/>
          <w:color w:val="auto"/>
        </w:rPr>
      </w:pPr>
      <w:r>
        <w:rPr>
          <w:rFonts w:ascii="Times New Roman" w:cs="Times New Roman" w:eastAsia="Times New Roman" w:hAnsi="Times New Roman"/>
          <w:sz w:val="18"/>
          <w:szCs w:val="18"/>
          <w:color w:val="auto"/>
        </w:rPr>
        <w:t>See “Non-GAAP Financial Measures” for further discussion of FFO, Adjusted FFO,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 and Adjusted Hotel EBITDA.</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Outlook</w:t>
      </w:r>
    </w:p>
    <w:p>
      <w:pPr>
        <w:spacing w:after="0" w:line="22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Smith Travel Research reported that U.S. lodging industry RevPAR increased 3.8% for the three months ended March 31, 2026, with RevPAR up 0.4% in January 2026, up 4.3% in February 2026 and up 5.9% in March 2026. We expect that during the remainder of 2026, lodging industry RevPAR will continue to increase modestly.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to the three months ended March 31, 2025</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Results of operations for the three months ended March 31, 2026 include the operating activities of the hotels we owned during the period. We sold one hotel located in Brentwood, TN on January 30, 2025, sold one hotel located in Houston, TX on March 17, 2025, sold one hotel located in Houston, TX on April 22, 2025, and sold one hotel located in Billerica, MA on December 23, 2025. We acquired a portfolio of six hotels on March 3, 2026, which were located in Paducah, KY, Joplin, MO, and Effingham, IL. The changes in results described below were driven primarily by an increase in RevPAR, the sales of four hotels, the acquisition of six hotels and inflationary cost pressures.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Revenue, which consists primarily of room, food and beverage and other operating revenues from our hotels, was as follows for the periods indicated (dollars in thousands):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20"/>
                <w:szCs w:val="20"/>
                <w:color w:val="auto"/>
              </w:rPr>
            </w:pPr>
          </w:p>
        </w:tc>
        <w:tc>
          <w:tcPr>
            <w:tcW w:w="17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Room</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61,203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62,418</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4,281</w:t>
            </w:r>
          </w:p>
        </w:tc>
        <w:tc>
          <w:tcPr>
            <w:tcW w:w="1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Reimbursable costs from related parties</w:t>
            </w:r>
          </w:p>
        </w:tc>
        <w:tc>
          <w:tcPr>
            <w:tcW w:w="1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67,504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68,635</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Total revenue was $67.5 million for the three months ended March 31, 2026, down $1.1 million compared to total revenue of $68.6 million for the corresponding 2025 period. The decrease in total revenue primarily was related to the four sold hotels in 2025, which contributed zero revenue during the three months ended March 31, 2026, down $4.1 million from the $4.1 million that the sold hotels contributed for the corresponding 2025 period. The decrease was partially offset by the 1.0% increase in same property RevPAR and the acquisition of six hotels in 2026, which contributed $2.2 million of revenue during the three months ended March 31, 2026, up $2.2 million from the corresponding 2025 period. Since all of our hotels are select-service or limited-service hotels, room revenue is the primary revenue source as these hotels do not have significant food and beverage revenue or large group conference facilities. Room revenue comprised 90.7% and 90.9% of total revenue for the three months ended March 31, 2026 and 2025, respectively.</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Food and beverage revenue was $1.6 million for the three months ended March 31, 2026, down $0.1 million compared to $1.7 million for the corresponding 2025 period.</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Other operating revenue is comprised of parking, meeting room, gift shop, in-room movie and other ancillary amenities revenue. Other operating revenue was $4.4 million and $4.3 million for the three months ended March 31, 2026 and 2025,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Reimbursable costs from related parties were $0.3 million and $0.3 million for the three months ended March 31, 2026 and 2025,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reimbursements were offset by the reimbursed costs from related parties included in operating expenses.</w:t>
      </w:r>
    </w:p>
    <w:p>
      <w:pPr>
        <w:spacing w:after="0" w:line="20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the table below, we present both actual and same property room revenue metrics. Actual Occupancy, ADR and RevPAR metrics reflect the performance of the hotels for the actual days such hotels were owned by the Company during the periods presented. Same property Occupancy, ADR and RevPAR reflect results for the hotels owned by us as of March 31, 2026 that have been in operation for a full year regardless of our ownership during the period presented, which is a non-GAAP financial measure. Results for the hotels for periods prior to our ownership were provided to us by prior owners and have not been adjusted by us.</w:t>
      </w:r>
    </w:p>
    <w:p>
      <w:pPr>
        <w:spacing w:after="0" w:line="179"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780" w:type="dxa"/>
            <w:vAlign w:val="bottom"/>
            <w:gridSpan w:val="3"/>
            <w:vMerge w:val="restart"/>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12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Same Property</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Actual</w:t>
            </w:r>
          </w:p>
        </w:tc>
        <w:tc>
          <w:tcPr>
            <w:tcW w:w="80" w:type="dxa"/>
            <w:vAlign w:val="bottom"/>
          </w:tcPr>
          <w:p>
            <w:pPr>
              <w:spacing w:after="0"/>
              <w:rPr>
                <w:sz w:val="16"/>
                <w:szCs w:val="16"/>
                <w:color w:val="auto"/>
              </w:rPr>
            </w:pPr>
          </w:p>
        </w:tc>
        <w:tc>
          <w:tcPr>
            <w:tcW w:w="140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Same Property</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Actual</w:t>
            </w:r>
          </w:p>
        </w:tc>
        <w:tc>
          <w:tcPr>
            <w:tcW w:w="80" w:type="dxa"/>
            <w:vAlign w:val="bottom"/>
          </w:tcPr>
          <w:p>
            <w:pPr>
              <w:spacing w:after="0"/>
              <w:rPr>
                <w:sz w:val="16"/>
                <w:szCs w:val="16"/>
                <w:color w:val="auto"/>
              </w:rPr>
            </w:pPr>
          </w:p>
        </w:tc>
        <w:tc>
          <w:tcPr>
            <w:tcW w:w="134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Same Property</w:t>
            </w:r>
          </w:p>
        </w:tc>
        <w:tc>
          <w:tcPr>
            <w:tcW w:w="100" w:type="dxa"/>
            <w:vAlign w:val="bottom"/>
          </w:tcPr>
          <w:p>
            <w:pPr>
              <w:spacing w:after="0"/>
              <w:rPr>
                <w:sz w:val="16"/>
                <w:szCs w:val="16"/>
                <w:color w:val="auto"/>
              </w:rPr>
            </w:pPr>
          </w:p>
        </w:tc>
        <w:tc>
          <w:tcPr>
            <w:tcW w:w="1340" w:type="dxa"/>
            <w:vAlign w:val="bottom"/>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238"/>
        </w:trPr>
        <w:tc>
          <w:tcPr>
            <w:tcW w:w="1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(39 hotels)</w:t>
            </w: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(39 hotels)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(39 hotels)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(37 hotels)</w:t>
            </w:r>
          </w:p>
        </w:tc>
        <w:tc>
          <w:tcPr>
            <w:tcW w:w="80" w:type="dxa"/>
            <w:vAlign w:val="bottom"/>
          </w:tcPr>
          <w:p>
            <w:pPr>
              <w:spacing w:after="0"/>
              <w:rPr>
                <w:sz w:val="20"/>
                <w:szCs w:val="20"/>
                <w:color w:val="auto"/>
              </w:rPr>
            </w:pP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(39 hotels)</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(39/37 hotels)</w:t>
            </w:r>
          </w:p>
        </w:tc>
        <w:tc>
          <w:tcPr>
            <w:tcW w:w="0" w:type="dxa"/>
            <w:vAlign w:val="bottom"/>
          </w:tcPr>
          <w:p>
            <w:pPr>
              <w:spacing w:after="0"/>
              <w:rPr>
                <w:sz w:val="1"/>
                <w:szCs w:val="1"/>
                <w:color w:val="auto"/>
              </w:rPr>
            </w:pPr>
          </w:p>
        </w:tc>
      </w:tr>
      <w:tr>
        <w:trPr>
          <w:trHeight w:val="21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ADR</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176.87</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179.23</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175.47</w:t>
            </w:r>
          </w:p>
        </w:tc>
        <w:tc>
          <w:tcPr>
            <w:tcW w:w="6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175.06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RevPAR</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130.50</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126.98</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126.24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same property RevPAR increased 1.0% due to an increase in occupancy of 0.1% and an increase in ADR of 0.8%. Same property RevPAR decreased 5.1% in January 2026, increased 1.5% in February 2026 and increased 5.3% in March 2026. Same property RevPAR was $102.79 in January 2026, $132.81 in February 2026 and $149.53 in March 2026.</w:t>
      </w:r>
    </w:p>
    <w:p>
      <w:pPr>
        <w:sectPr>
          <w:pgSz w:w="11900" w:h="16838" w:orient="portrait"/>
          <w:cols w:equalWidth="0" w:num="1">
            <w:col w:w="11220"/>
          </w:cols>
          <w:pgMar w:left="320" w:top="121" w:right="359"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Hotel Operating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Hotel operating expenses consist of the following for the periods indicated (dollars in thousands):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20"/>
                <w:szCs w:val="20"/>
                <w:color w:val="auto"/>
              </w:rPr>
            </w:pPr>
          </w:p>
        </w:tc>
        <w:tc>
          <w:tcPr>
            <w:tcW w:w="17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operating expenses: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Room</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Telephone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hotel operating</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1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and marketing fees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Repairs and maintenance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8"/>
                <w:szCs w:val="18"/>
                <w:color w:val="auto"/>
              </w:rPr>
            </w:pP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9"/>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hotel operating expenses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41,779</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Hotel operating expenses decreased $1.1 million, or 2.7%, to $40.7 million for the three months ended March 31, 2026 from $41.8 million for the three months ended March 31, 2025. The four sold hotels contributed zero in operating expenses for the three months ended March 31, 2026, down</w:t>
      </w:r>
    </w:p>
    <w:p>
      <w:pPr>
        <w:ind w:right="600"/>
        <w:spacing w:after="0" w:line="255" w:lineRule="auto"/>
        <w:rPr>
          <w:sz w:val="20"/>
          <w:szCs w:val="20"/>
          <w:color w:val="auto"/>
        </w:rPr>
      </w:pPr>
      <w:r>
        <w:rPr>
          <w:rFonts w:ascii="Times New Roman" w:cs="Times New Roman" w:eastAsia="Times New Roman" w:hAnsi="Times New Roman"/>
          <w:sz w:val="18"/>
          <w:szCs w:val="18"/>
          <w:color w:val="auto"/>
        </w:rPr>
        <w:t>$2.9 million from the $2.9 million that the sold hotels contributed for the corresponding 2025 period. This was partially offset by the acquisition of six hotels in 2026, which contributed $1.1 million in operating expenses during the three months ended March 31, 2026, up $1.1 million from the corresponding 2025 period, and the impact of inflation.</w:t>
      </w:r>
    </w:p>
    <w:p>
      <w:pPr>
        <w:spacing w:after="0" w:line="186" w:lineRule="exact"/>
        <w:rPr>
          <w:sz w:val="20"/>
          <w:szCs w:val="20"/>
          <w:color w:val="auto"/>
        </w:rPr>
      </w:pPr>
    </w:p>
    <w:p>
      <w:pPr>
        <w:jc w:val="both"/>
        <w:ind w:right="220" w:firstLine="648"/>
        <w:spacing w:after="0" w:line="289" w:lineRule="auto"/>
        <w:rPr>
          <w:sz w:val="20"/>
          <w:szCs w:val="20"/>
          <w:color w:val="auto"/>
        </w:rPr>
      </w:pPr>
      <w:r>
        <w:rPr>
          <w:rFonts w:ascii="Times New Roman" w:cs="Times New Roman" w:eastAsia="Times New Roman" w:hAnsi="Times New Roman"/>
          <w:sz w:val="17"/>
          <w:szCs w:val="17"/>
          <w:color w:val="auto"/>
        </w:rPr>
        <w:t>Room expenses, which are the most significant component of hotel operating expenses, decreased $0.8 million from $14.8 million for the three months ended March 31, 2025 to $14.0 million for the three months ended March 31, 2026. The decrease in room expenses was related primarily to the decrease in costs from the sales of four hotels, partially offset by the increase in costs from the acquisition of six hotels and the impact of inflation.</w:t>
      </w:r>
    </w:p>
    <w:p>
      <w:pPr>
        <w:spacing w:after="0" w:line="15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remaining hotel operating expenses decreased $0.3 million, from $27.0 million for the three months ended March 31, 2025 to $26.7 million for the three months ended March 31,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was $14.8 million and $15.0 million for the three months ended March 31, 2026 and 2025,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related to the sales of four hotels in 2025 partially offset by the acquisition of six hotels in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Taxes, Ground Rent and Insurance</w:t>
      </w:r>
    </w:p>
    <w:p>
      <w:pPr>
        <w:spacing w:after="0" w:line="2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Total property taxes, ground rent and insurance expenses decreased $0.5 million from $5.7 million for the three months ended March 31, 2025 to $5.2 million for the three months ended March 31, 2026. The decrease was primarily related to the sales of four hotels in 2025 and successful property tax appeals at multiple hotel properties, partially offset by the acquisition of six hotels in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principally consist of employee-related costs, including base payroll, bonuses and amortization of restricted stock and awards of long-term incentive plan units ("LTIP units"). These expenses also include corporate operating costs, professional fees and trustees’ fees. Total general and administrative expenses (excluding amortization of share-based compensation of $1.5 million and $1.6 million for the three months ended March 31, 2026 and 2025, respectively) was $3.1 million for the three months ended March 31, 2026 versus $3.0 million for the three months ended March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Charges</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Other charges increased from $7 thousand for the three months ended March 31, 2025 to $0.5 million for the three months ended March 31, 2026 due to additional audit fees related to the acquisition of six hotels in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Reimbursable Costs from Related Parties</w:t>
      </w:r>
    </w:p>
    <w:p>
      <w:pPr>
        <w:spacing w:after="0" w:line="227" w:lineRule="exact"/>
        <w:rPr>
          <w:sz w:val="20"/>
          <w:szCs w:val="20"/>
          <w:color w:val="auto"/>
        </w:rPr>
      </w:pPr>
    </w:p>
    <w:p>
      <w:pPr>
        <w:ind w:right="100" w:firstLine="648"/>
        <w:spacing w:after="0" w:line="312" w:lineRule="auto"/>
        <w:rPr>
          <w:sz w:val="20"/>
          <w:szCs w:val="20"/>
          <w:color w:val="auto"/>
        </w:rPr>
      </w:pPr>
      <w:r>
        <w:rPr>
          <w:rFonts w:ascii="Times New Roman" w:cs="Times New Roman" w:eastAsia="Times New Roman" w:hAnsi="Times New Roman"/>
          <w:sz w:val="17"/>
          <w:szCs w:val="17"/>
          <w:color w:val="auto"/>
        </w:rPr>
        <w:t>Reimbursable costs from related parties, comprised of shared office expenses and rent, were $0.3 million and $0.3 million for the three months ended March 31, 2026 and 2025, respectively. The cost reimbursements were offset by the cost reimbursements from related parties included in revenues.</w:t>
      </w:r>
    </w:p>
    <w:p>
      <w:pPr>
        <w:sectPr>
          <w:pgSz w:w="11900" w:h="16838" w:orient="portrait"/>
          <w:cols w:equalWidth="0" w:num="1">
            <w:col w:w="11180"/>
          </w:cols>
          <w:pgMar w:left="320" w:top="121" w:right="399" w:bottom="1440" w:gutter="0" w:footer="0" w:header="0"/>
        </w:sectPr>
      </w:pP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Hotel Properties</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Gain on sale of hotel properties decreased $7.0 million to $0.1 million for the three months ended March 31, 2026 compared to $7.1 million for the three months ended March 31, 2025. The HWS Brentwood hotel property was sold on January 30, 2025, and the HI Houston hotel property was sold on March 17, 2025, which resulted in a total gain of $7.1 million in the prior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w:t>
      </w:r>
    </w:p>
    <w:p>
      <w:pPr>
        <w:spacing w:after="0" w:line="22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Interest on cash and cash equivalents and other income was $0.1 million and $0.1 million for the three months ended March 31, 2026 and 2025,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Including Amortization of Deferred Fees</w:t>
      </w:r>
    </w:p>
    <w:p>
      <w:pPr>
        <w:spacing w:after="0" w:line="227"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Interest expense decreased $0.7 million from $6.9 million for the three months ended March 31, 2025 to $6.2 million for the three months ended March 31, 2026 and is comprised of the following (dollars in thousands):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Pr>
          <w:p>
            <w:pPr>
              <w:spacing w:after="0"/>
              <w:rPr>
                <w:sz w:val="20"/>
                <w:szCs w:val="20"/>
                <w:color w:val="auto"/>
              </w:rPr>
            </w:pPr>
          </w:p>
        </w:tc>
        <w:tc>
          <w:tcPr>
            <w:tcW w:w="17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80" w:type="dxa"/>
            <w:vAlign w:val="bottom"/>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debt interest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2,602</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facility and term loan interest and unused fees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finance lease liability</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18"/>
                <w:szCs w:val="18"/>
                <w:color w:val="auto"/>
              </w:rPr>
            </w:pP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49"/>
        </w:trPr>
        <w:tc>
          <w:tcPr>
            <w:tcW w:w="47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6,201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6,852</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was due to lower floating SOFR-based interest rates during the three months ended March 31, 2026 than during the three months ended March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was $0.1 million and zero for the three months ended March 31, 2026 and 2025, respectively. We are subject to income taxes based on the taxable income of our TRS Lessees at a combined federal and state tax rate of approximately 25%. The Company’s TRS continues to have cumulative three-year taxable losses and recognizes a full valuation allowance equal to 100% of the gross deferred tax assets due to the uncertainty of the TRS's ability to utilize these deferred tax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Net loss was $(4.5) million for the three months ended March 31, 2026, compared to net income of $1.5 million for the three months ended March 31, 2025. The change in net (loss) income was primarily due to the factors discussed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consider the following non-GAAP financial measures useful to investors as key supplemental measures of our operating performance:</w:t>
      </w:r>
    </w:p>
    <w:p>
      <w:pPr>
        <w:spacing w:after="0" w:line="27" w:lineRule="exact"/>
        <w:rPr>
          <w:sz w:val="20"/>
          <w:szCs w:val="20"/>
          <w:color w:val="auto"/>
        </w:rPr>
      </w:pPr>
    </w:p>
    <w:p>
      <w:pPr>
        <w:ind w:right="240" w:firstLine="8"/>
        <w:spacing w:after="0" w:line="290" w:lineRule="auto"/>
        <w:tabs>
          <w:tab w:leader="none" w:pos="25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FFO, (2) Adjusted FFO, (3) EBITDA, (4)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(5) Adjusted EBITDA and (6) Adjusted Hotel EBITDA. These non-GAAP financial measures should be considered along with, but not as alternatives to, net income or loss as prescribed by GAAP as a measure of our operating performance.</w:t>
      </w:r>
    </w:p>
    <w:p>
      <w:pPr>
        <w:spacing w:after="0" w:line="15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FFO, Adjusted FFO,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 and Adjusted Hotel EBITDA do not represent cash generated from operating activities under GAAP and should not be considered as alternatives to net income or loss, cash flows from operations or any other operating performance measure prescribed by GAAP. FFO, Adjusted FFO,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 and Adjusted Hotel EBITDA are not measures of our liquidity, nor are FFO, Adjusted FFO,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 and Adjusted Hotel EBITDA indicative of funds available to fund our cash needs, including our ability to make cash distributions. These measurements do not reflect cash expenditures for long-term assets and other items that have been and will be incurred. FFO, Adjusted FFO,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 and Adjusted Hotel EBITDA may include funds that may not be available for management’s discretionary use due to functional requirements to conserve funds for capital expenditures, property acquisitions, and other commitments and uncertainties.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calculate FFO in accordance with standards established by Nareit, which defines FFO as net income or loss (calculated in accordance with GAAP), excluding gains or losses from sales of real estate, impairment write-downs, the cumulative effect of changes in accounting principles, plus depreciation and amortization (excluding amortization of deferred financing costs), and after adjustments for unconsolidated partnerships and joint ventures following the same approach. We believe that the presentation of FFO provides useful information to investors regarding our operating performance because it measures our performance without regard to specified non-cash items such as real estate depreciation and amortization, gain or loss on sale of real estate assets and certain other items that we believe are not indicative of the property level performance of our hotel properties. We believe that these items reflect historical cost of our asset base and our acquisition and disposition activities and are less reflective of our ongoing operations, and that by adjusting to exclude the effects of these items, FFO is useful to investors in comparing our operating performance between periods and between REITs that also report FFO using the Nareit definition.</w:t>
      </w:r>
    </w:p>
    <w:p>
      <w:pPr>
        <w:spacing w:after="0" w:line="18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calculate Adjusted FFO by further adjusting FFO for certain additional items that are not addressed in Nareit’s definition of FFO, including other charges, losses on the early extinguishment of debt and similar items related to unconsolidated real estate entities that we believe do not represent costs related to hotel operations. We believe that Adjusted FFO provides investors with another financial measure that may facilitate comparisons of operating performance between periods and between REITs that make similar adjustments to FFO.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net income (loss) to FFO and Adjusted FFO for the three months ended March 31, 2026 and 2025 (in thousands, except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From Operations (“FFO”):</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dividends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shares and common units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hotel properties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of hotel properties owned</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14,272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14,466</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FFO attributable to common share and unit holders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charges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FFO attributable to common share and unit 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10,060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9,008</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shares and units</w:t>
            </w: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48,972,121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50,711,873</w:t>
            </w:r>
          </w:p>
        </w:tc>
        <w:tc>
          <w:tcPr>
            <w:tcW w:w="0" w:type="dxa"/>
            <w:vAlign w:val="bottom"/>
          </w:tcPr>
          <w:p>
            <w:pPr>
              <w:spacing w:after="0"/>
              <w:rPr>
                <w:sz w:val="1"/>
                <w:szCs w:val="1"/>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50,005,191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51,593,653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Diluted weighted average common share and unit count used for calculation of Adjusted FFO per share may differ from diluted weighted average common share count used for calculation of GAAP Net Income per share due to the inclusion of LTIP units, which may be converted to common shares of beneficial interest if Net Income per share is negative and Adjusted FFO is positive. Unvested restricted shares and unvested LTIP units that could potentially dilute basic earnings per share in the future would not be included in the computation of diluted loss per share for the periods where a loss has been recorded because they would have been anti-dilutive for the periods presented.</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Earnings before interest, taxes, depreciation and amortization ("EBITDA") is defined as net income or loss excluding: (1) interest expense; (2) provision for income taxes, including income taxes applicable to sales of assets; (3) depreciation and amortization; and (4) unconsolidated real estate entity items including interest, depreciation and amortization excluding gains and losses from sales of real estate. We consider EBITDA useful to an investor in evaluating and facilitating comparisons of our operating performance between periods and between REITs by removing the impact of our capital structure (primarily interest expense) and asset base (primarily depreciation and amortization) from our operating results. In addition, EBITDA is used as one measure in determining the value of hotel acquisitions and dispositions.</w:t>
      </w:r>
    </w:p>
    <w:p>
      <w:pPr>
        <w:spacing w:after="0" w:line="18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addition to EBITDA, we present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in accordance with Nareit guidelines, which defines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as net income or loss excluding interest expense, income tax expense, depreciation and amortization expense, gains or losses from sales of real estate, impairment, and adjustments for unconsolidated joint ventures. We believe that the presentation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provides useful information to investors regarding the Company's operating performance and can facilitate comparisons of operating performance between periods and between REITs.</w:t>
      </w:r>
    </w:p>
    <w:p>
      <w:pPr>
        <w:spacing w:after="0" w:line="18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also present Adjusted EBITDA, which includes additional adjustments for items such as other charges, gains or losses on extinguishment of indebtedness, the amortization of share-based compensation, and certain other expenses that we consider outside the normal course of operations. We believe that Adjusted EBITDA provides useful supplemental information to investors regarding our ongoing operating performance that, when considered with net income, EBITDA and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is beneficial to an investor's understanding of our performance.</w:t>
      </w:r>
    </w:p>
    <w:p>
      <w:pPr>
        <w:spacing w:after="0" w:line="394"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color w:val="auto"/>
        </w:rPr>
        <w:t>The following is a reconciliation of net income (loss) to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 for the three months ended March 31, 2026 and 2025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18"/>
                <w:szCs w:val="18"/>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 (“EBITDA”):</w:t>
            </w:r>
          </w:p>
        </w:tc>
        <w:tc>
          <w:tcPr>
            <w:tcW w:w="9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including amortization of deferred fees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14,778</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15,032</w:t>
            </w: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EBITDA</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16,499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23,403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hotel properties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EBITDAre</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16,377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16,285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charges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1,607</w:t>
            </w: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EBITDA</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18,363</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17,899</w:t>
            </w: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Adjusted Hotel EBITDA is defined as net income before interest, income taxes, depreciation and amortization, corporate general and administrative, impairment loss, loss on early extinguishment of debt, other charges, interest and other income, losses on sales of hotel properties and income or loss from unconsolidated real estate entities. We present Adjusted Hotel EBITDA because we believe it is useful to investors in comparing our hotel operating performance between periods and comparing our Adjusted Hotel EBITDA to those of our peer companies.</w:t>
      </w:r>
    </w:p>
    <w:p>
      <w:pPr>
        <w:spacing w:after="0" w:line="18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presentation of, and a reconciliation of net income (loss) to, Adjusted Hotel EBITDA for the three months ended March 31, 2026 and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00" w:type="dxa"/>
            <w:vAlign w:val="bottom"/>
          </w:tcPr>
          <w:p>
            <w:pPr>
              <w:spacing w:after="0"/>
              <w:rPr>
                <w:sz w:val="18"/>
                <w:szCs w:val="18"/>
                <w:color w:val="auto"/>
              </w:rPr>
            </w:pPr>
          </w:p>
        </w:tc>
      </w:tr>
      <w:tr>
        <w:trPr>
          <w:trHeight w:val="238"/>
        </w:trPr>
        <w:tc>
          <w:tcPr>
            <w:tcW w:w="136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r>
      <w:tr>
        <w:trPr>
          <w:trHeight w:val="209"/>
        </w:trPr>
        <w:tc>
          <w:tcPr>
            <w:tcW w:w="13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18"/>
                <w:szCs w:val="18"/>
                <w:color w:val="auto"/>
              </w:rPr>
            </w:pPr>
          </w:p>
        </w:tc>
      </w:tr>
      <w:tr>
        <w:trPr>
          <w:trHeight w:val="210"/>
        </w:trPr>
        <w:tc>
          <w:tcPr>
            <w:tcW w:w="13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6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1,519</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6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 including amortization of deferred fees</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6,852</w:t>
            </w:r>
          </w:p>
        </w:tc>
      </w:tr>
      <w:tr>
        <w:trPr>
          <w:trHeight w:val="216"/>
        </w:trPr>
        <w:tc>
          <w:tcPr>
            <w:tcW w:w="1360" w:type="dxa"/>
            <w:vAlign w:val="bottom"/>
            <w:shd w:val="clear" w:color="auto" w:fill="CCEEFF"/>
          </w:tcPr>
          <w:p>
            <w:pPr>
              <w:spacing w:after="0"/>
              <w:rPr>
                <w:sz w:val="18"/>
                <w:szCs w:val="18"/>
                <w:color w:val="auto"/>
              </w:rPr>
            </w:pPr>
          </w:p>
        </w:tc>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15,032</w:t>
            </w:r>
          </w:p>
        </w:tc>
      </w:tr>
      <w:tr>
        <w:trPr>
          <w:trHeight w:val="216"/>
        </w:trPr>
        <w:tc>
          <w:tcPr>
            <w:tcW w:w="1360" w:type="dxa"/>
            <w:vAlign w:val="bottom"/>
          </w:tcPr>
          <w:p>
            <w:pPr>
              <w:spacing w:after="0"/>
              <w:rPr>
                <w:sz w:val="18"/>
                <w:szCs w:val="18"/>
                <w:color w:val="auto"/>
              </w:rPr>
            </w:pPr>
          </w:p>
        </w:tc>
        <w:tc>
          <w:tcPr>
            <w:tcW w:w="6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4,606</w:t>
            </w:r>
          </w:p>
        </w:tc>
      </w:tr>
      <w:tr>
        <w:trPr>
          <w:trHeight w:val="216"/>
        </w:trPr>
        <w:tc>
          <w:tcPr>
            <w:tcW w:w="1360" w:type="dxa"/>
            <w:vAlign w:val="bottom"/>
            <w:shd w:val="clear" w:color="auto" w:fill="CCEEFF"/>
          </w:tcPr>
          <w:p>
            <w:pPr>
              <w:spacing w:after="0"/>
              <w:rPr>
                <w:sz w:val="18"/>
                <w:szCs w:val="18"/>
                <w:color w:val="auto"/>
              </w:rPr>
            </w:pPr>
          </w:p>
        </w:tc>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charges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60" w:type="dxa"/>
            <w:vAlign w:val="bottom"/>
          </w:tcPr>
          <w:p>
            <w:pPr>
              <w:spacing w:after="0"/>
              <w:rPr>
                <w:sz w:val="18"/>
                <w:szCs w:val="18"/>
                <w:color w:val="auto"/>
              </w:rPr>
            </w:pPr>
          </w:p>
        </w:tc>
        <w:tc>
          <w:tcPr>
            <w:tcW w:w="6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136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Gain on sale of hotel properties</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w:t>
            </w:r>
          </w:p>
        </w:tc>
      </w:tr>
      <w:tr>
        <w:trPr>
          <w:trHeight w:val="210"/>
        </w:trPr>
        <w:tc>
          <w:tcPr>
            <w:tcW w:w="1360" w:type="dxa"/>
            <w:vAlign w:val="bottom"/>
            <w:tcBorders>
              <w:bottom w:val="single" w:sz="8" w:color="CCEEFF"/>
            </w:tcBorders>
            <w:shd w:val="clear" w:color="auto" w:fill="CCEEFF"/>
          </w:tcPr>
          <w:p>
            <w:pPr>
              <w:spacing w:after="0"/>
              <w:rPr>
                <w:sz w:val="18"/>
                <w:szCs w:val="18"/>
                <w:color w:val="auto"/>
              </w:rPr>
            </w:pPr>
          </w:p>
        </w:tc>
        <w:tc>
          <w:tcPr>
            <w:tcW w:w="6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Adjusted Hotel EBITDA</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21,402</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20,835</w:t>
            </w:r>
          </w:p>
        </w:tc>
      </w:tr>
      <w:tr>
        <w:trPr>
          <w:trHeight w:val="20"/>
        </w:trPr>
        <w:tc>
          <w:tcPr>
            <w:tcW w:w="13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color w:val="auto"/>
        </w:rPr>
        <w:t>Although we present FFO, Adjusted FFO,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Adjusted EBITDA and Adjusted Hotel EBITDA because we believe they are useful to investors in comparing our operating performance between periods and between REITs that report similar measures, these measures have limitations as analytical tools. Some of these limitations are:</w:t>
      </w:r>
    </w:p>
    <w:p>
      <w:pPr>
        <w:spacing w:after="0" w:line="173" w:lineRule="exact"/>
        <w:rPr>
          <w:sz w:val="20"/>
          <w:szCs w:val="20"/>
          <w:color w:val="auto"/>
        </w:rPr>
      </w:pPr>
    </w:p>
    <w:p>
      <w:pPr>
        <w:ind w:left="560" w:right="660" w:hanging="323"/>
        <w:spacing w:after="0" w:line="284" w:lineRule="auto"/>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FFO, Adjusted FFO,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Adjusted EBITDA and Adjusted Hotel EBITDA do not reflect our cash expenditures, or future requirements, for capital expenditures or contractual commitments;</w:t>
      </w:r>
    </w:p>
    <w:p>
      <w:pPr>
        <w:spacing w:after="0" w:line="158" w:lineRule="exact"/>
        <w:rPr>
          <w:rFonts w:ascii="Times New Roman" w:cs="Times New Roman" w:eastAsia="Times New Roman" w:hAnsi="Times New Roman"/>
          <w:sz w:val="18"/>
          <w:szCs w:val="18"/>
          <w:color w:val="auto"/>
        </w:rPr>
      </w:pPr>
    </w:p>
    <w:p>
      <w:pPr>
        <w:ind w:left="560" w:right="20" w:hanging="323"/>
        <w:spacing w:after="0" w:line="284" w:lineRule="auto"/>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FFO, Adjusted FFO,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Adjusted EBITDA and Adjusted Hotel EBITDA do not reflect changes in, or cash requirements for, our working capital needs;</w:t>
      </w:r>
    </w:p>
    <w:p>
      <w:pPr>
        <w:spacing w:after="0" w:line="158" w:lineRule="exact"/>
        <w:rPr>
          <w:rFonts w:ascii="Times New Roman" w:cs="Times New Roman" w:eastAsia="Times New Roman" w:hAnsi="Times New Roman"/>
          <w:sz w:val="18"/>
          <w:szCs w:val="18"/>
          <w:color w:val="auto"/>
        </w:rPr>
      </w:pPr>
    </w:p>
    <w:p>
      <w:pPr>
        <w:ind w:left="560" w:right="880" w:hanging="323"/>
        <w:spacing w:after="0" w:line="284" w:lineRule="auto"/>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FFO, Adjusted FFO,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Adjusted EBITDA and Adjusted Hotel EBITDA do not reflect funds available to make cash distributions;</w:t>
      </w:r>
    </w:p>
    <w:p>
      <w:pPr>
        <w:spacing w:after="0" w:line="158" w:lineRule="exact"/>
        <w:rPr>
          <w:rFonts w:ascii="Times New Roman" w:cs="Times New Roman" w:eastAsia="Times New Roman" w:hAnsi="Times New Roman"/>
          <w:sz w:val="18"/>
          <w:szCs w:val="18"/>
          <w:color w:val="auto"/>
        </w:rPr>
      </w:pPr>
    </w:p>
    <w:p>
      <w:pPr>
        <w:ind w:left="560" w:right="400" w:hanging="323"/>
        <w:spacing w:after="0" w:line="284" w:lineRule="auto"/>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Adjusted EBITDA and Adjusted Hotel EBITDA do not reflect the significant interest expense, or the cash requirements necessary to service interest or principal payments, on our debts;</w:t>
      </w:r>
    </w:p>
    <w:p>
      <w:pPr>
        <w:spacing w:after="0" w:line="160" w:lineRule="exact"/>
        <w:rPr>
          <w:rFonts w:ascii="Times New Roman" w:cs="Times New Roman" w:eastAsia="Times New Roman" w:hAnsi="Times New Roman"/>
          <w:sz w:val="18"/>
          <w:szCs w:val="18"/>
          <w:color w:val="auto"/>
        </w:rPr>
      </w:pPr>
    </w:p>
    <w:p>
      <w:pPr>
        <w:ind w:left="560" w:right="20" w:hanging="323"/>
        <w:spacing w:after="0" w:line="266" w:lineRule="auto"/>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need to be replaced in the future, and FFO, Adjusted FFO,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Adjusted EBITDA and Adjusted Hotel EBITDA do not reflect any cash requirements for such replacements;</w:t>
      </w:r>
    </w:p>
    <w:p>
      <w:pPr>
        <w:spacing w:after="0" w:line="175" w:lineRule="exact"/>
        <w:rPr>
          <w:rFonts w:ascii="Times New Roman" w:cs="Times New Roman" w:eastAsia="Times New Roman" w:hAnsi="Times New Roman"/>
          <w:sz w:val="18"/>
          <w:szCs w:val="18"/>
          <w:color w:val="auto"/>
        </w:rPr>
      </w:pPr>
    </w:p>
    <w:p>
      <w:pPr>
        <w:ind w:left="560" w:right="260" w:hanging="323"/>
        <w:spacing w:after="0" w:line="282" w:lineRule="auto"/>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compensation is and will remain a key element of our overall long-term incentive compensation package, although we exclude it as an expense when evaluating our ongoing operating performance for a particular period using Adjusted FFO and Adjusted EBITDA;</w:t>
      </w:r>
    </w:p>
    <w:p>
      <w:pPr>
        <w:spacing w:after="0" w:line="161" w:lineRule="exact"/>
        <w:rPr>
          <w:rFonts w:ascii="Times New Roman" w:cs="Times New Roman" w:eastAsia="Times New Roman" w:hAnsi="Times New Roman"/>
          <w:sz w:val="18"/>
          <w:szCs w:val="18"/>
          <w:color w:val="auto"/>
        </w:rPr>
      </w:pPr>
    </w:p>
    <w:p>
      <w:pPr>
        <w:ind w:left="560" w:right="120" w:hanging="323"/>
        <w:spacing w:after="0" w:line="282" w:lineRule="auto"/>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FFO, Adjusted EBITDA and Adjusted Hotel EBITDA do not reflect the impact of certain cash charges (including acquisition transaction costs) that result from matters we consider not to be indicative of the underlying performance of our hotel properties; and</w:t>
      </w:r>
    </w:p>
    <w:p>
      <w:pPr>
        <w:spacing w:after="0" w:line="159" w:lineRule="exact"/>
        <w:rPr>
          <w:rFonts w:ascii="Times New Roman" w:cs="Times New Roman" w:eastAsia="Times New Roman" w:hAnsi="Times New Roman"/>
          <w:sz w:val="18"/>
          <w:szCs w:val="18"/>
          <w:color w:val="auto"/>
        </w:rPr>
      </w:pPr>
    </w:p>
    <w:p>
      <w:pPr>
        <w:ind w:left="560" w:right="580" w:hanging="323"/>
        <w:spacing w:after="0" w:line="284" w:lineRule="auto"/>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FFO, Adjusted FFO,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Adjusted EBITDA and Adjusted Hotel EBITDA differently than we do, limiting their usefulness as comparative measures.</w:t>
      </w:r>
    </w:p>
    <w:p>
      <w:pPr>
        <w:spacing w:after="0" w:line="158"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17"/>
          <w:szCs w:val="17"/>
          <w:color w:val="auto"/>
        </w:rPr>
        <w:t>In addition, FFO, Adjusted FFO, EBITDA,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Adjusted EBITDA and Adjusted Hotel EBITDA do not represent cash generated from operating activities as determined by GAAP and should not be considered as alternatives to net income or loss, cash flows from operations or any other operating performance measure prescribed by GAAP. FFO, Adjusted FFO, EBITDA,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Adjusted EBITDA and Adjusted Hotel EBITDA are not measures of our liquidity. Because of these limitations, FFO, Adjusted FFO, EBITDA,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Adjusted EBITDA and Adjusted Hotel EBITDA should not be considered in isolation or as a substitute for performance measures calculated in accordance with GAAP. We compensate for these limitations by relying primarily on our GAAP results and using FFO, Adjusted FFO, EBITDA,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Adjusted EBITDA and Adjusted Hotel EBITDA only supplementally. Our consolidated financial statements and the notes to those statements included elsewhere are prepared in accordance with GAAP.</w:t>
      </w:r>
    </w:p>
    <w:p>
      <w:pPr>
        <w:sectPr>
          <w:pgSz w:w="11900" w:h="16838" w:orient="portrait"/>
          <w:cols w:equalWidth="0" w:num="1">
            <w:col w:w="11240"/>
          </w:cols>
          <w:pgMar w:left="320" w:top="121" w:right="339"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principal sources of cash include net cash from operations, availability under our credit facility, proceeds from debt and equity issuances, and proceeds from the sale of hotel properties. Our principal uses of cash include acquisitions, capital expenditures, operating costs, corporate expenditures, interest costs, debt repayments, common share repurchases, and distributions to equity holders.</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Cash, cash equivalents, and restricted cash totaled $19.3 million as of March 31, 2026, a decrease of $13.3 million from December 31, 2025, primarily due to net cash provided by operating activities of $13.3 million, net cash used in investing activities of $(98.5) million, and net cash provided by financing activities of $71.8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from Operations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flows provided by operating activities increased $9.1 million to $13.3 million during the three months ended March 31, 2026 compared to $4.2 million during the three months ended March 31, 2025. The increase in cash from operating activities was primarily due to improving revenue from our hotels which generated same property RevPAR growth of 1.0% during the three months ended March 31, 2026, the acquisition of six hotels in 2026 and an increase in accounts payable and accrued expenses, partially offset by the sale of four hotels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 Cash Flows</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Net cash flows used in investing activities increased $121.3 million to $98.5 million during the three months ended March 31, 2026 compared to net cash flows provided by investing activities of $22.8 million during the three months ended March 31, 2025. For the three months ended March 31, 2026, net cash flows used in investing activities of $98.5 million consisted of $6.0 million related to capital improvements on our hotels and $92.5 million related to the acquisition of six hotels. For the three months ended March 31, 2025, net cash flows provided by investing activities of $22.8 million consisted of $29.9 million in net proceeds related to the sales of two hotels, partially offset by $7.1 million related to capital improvements on our hotels.</w:t>
      </w:r>
    </w:p>
    <w:p>
      <w:pPr>
        <w:spacing w:after="0" w:line="18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expect to invest approximately $20.5 million on renovations, discretionary and emergency expenditures on our existing hotels during the remainder of 2026, including improvements required under any brand PIP.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 Cash Flows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 increased $103.4 million to $71.8 million during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compared to $(31.6) million during the three months ended March 31, 2025. For the three months ended March 31, 2026, net cash flows provided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 of $71.8 million were comprised of net borrowings on our revolving credit facility of $85.0 million, repurchases of common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 million, distributions to common share and LTIP unit holders of $4.5 million and distributions on preferred shares of $2.0 million. For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March 31, 2025, net cash flows used in financing activities of $(31.6) million were comprised of the repayment of mortgage debt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 million, net repayments on our revolving credit facility of $10.0 million, distributions to common share and LTIP unit holders of $3.7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on preferred shares of $2.0 million.</w:t>
      </w:r>
    </w:p>
    <w:p>
      <w:pPr>
        <w:spacing w:after="0" w:line="20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declared total dividends of $0.10 and $0.09 per common share and LTIP unit for the three months ended March 31, 2026 and 2025, respectively. We declared total dividends of $0.41406 and $0.41406 per Series A preferred share for the three months ended March 31, 2026 and 2025,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material cash requirements include the following contractual obligations:</w:t>
      </w:r>
    </w:p>
    <w:p>
      <w:pPr>
        <w:spacing w:after="0" w:line="225" w:lineRule="exact"/>
        <w:rPr>
          <w:sz w:val="20"/>
          <w:szCs w:val="20"/>
          <w:color w:val="auto"/>
        </w:rPr>
      </w:pPr>
    </w:p>
    <w:p>
      <w:pPr>
        <w:ind w:left="660" w:right="10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2026, we had total debt principal and interest obligations of $542.2 million with $25.0 million of principal and interest payable within the next 12 months from March 31, 2026. The Company has no debt principal obligations payable during the next 12 months. See Note 6, “Debt” to our consolidated financial statements for additional information relating to our property loans, revolving credit facility and unsecured term loan.</w:t>
      </w:r>
    </w:p>
    <w:p>
      <w:pPr>
        <w:spacing w:after="0" w:line="179"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payments due within the next 12 months from March 31, 2026 total $1.9 million. See Note 12, “Leases” to our consolidated financial statements for additional information relating to our corporate office and ground leases.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At March 31, 2026, our leverage ratio was approximately 24.6% measured as the ratio of our net debt (total debt outstanding before deferred financing costs less unrestricted cash and cash equivalents) to hotel investments at cost. Over the past several years, we have maintained a leverage ratio between the low 20s and the low 50s. At March 31, 2026, we had total debt of $428.2 million at an average interest rate of approximately 5.84%.</w:t>
      </w:r>
    </w:p>
    <w:p>
      <w:pPr>
        <w:spacing w:after="0" w:line="17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we had $85.0 million and zero, respectively, in outstanding borrowings under our $300.0 million revolving credit facility. We had $200.0 million and $200.0 million in outstanding borrowings under our unsecured term loan at March 31, 2026 and December 31, 2025, respectively.</w:t>
      </w:r>
    </w:p>
    <w:p>
      <w:pPr>
        <w:spacing w:after="0" w:line="17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Our revolving credit facility and term loan contain representations, warranties, covenants, terms and conditions customary for credit facilities of this type, including a maximum leverage ratio, a maximum secured leverage ratio, a maximum unsecured leverage ratio, a minimum fixed charge coverage ratio, a minimum unsecured interest coverage ratio, and minimum net worth financial covenants, limitations on (i) liens, (ii) incurrence of debt,</w:t>
      </w:r>
    </w:p>
    <w:p>
      <w:pPr>
        <w:spacing w:after="0" w:line="1" w:lineRule="exact"/>
        <w:rPr>
          <w:sz w:val="20"/>
          <w:szCs w:val="20"/>
          <w:color w:val="auto"/>
        </w:rPr>
      </w:pPr>
    </w:p>
    <w:p>
      <w:pPr>
        <w:jc w:val="both"/>
        <w:ind w:right="140" w:firstLine="8"/>
        <w:spacing w:after="0" w:line="255" w:lineRule="auto"/>
        <w:tabs>
          <w:tab w:leader="none" w:pos="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(iv) distributions and (v) mergers and asset dispositions, covenants to preserve corporate existence and comply with laws, covenants on the use of proceeds and default provisions, including defaults for non-payment, breach of representations and warranties, insolvency, non-performance of covenants, cross-defaults and guarantor defaults. We were in compliance with all financial covenants at March 31, 2026.</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2017, we established a $50.0 million dividend reinvestment and stock purchase plan (the "DRSPP") which renewed in December 2020 and renewed again in January 2024. Under the DRSPP, shareholders may purchase additional common shares by reinvesting some or all of the cash dividends received on common shares. Shareholders may also make optional cash purchases of common shares subject to certain limitations detailed in the prospectuses for the DRSPP. During the three months ended March 31, 2026, the Company issued 1,569 common shares under the DRSPP at a weighted-average price per share of $7.38, which generated $12 thousand of proceeds. As of March 31, 2026, there was approximately $49.9 million of common shares available for issuance under the DRSPP.</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January 2021, we established an "at-the-market" equity offering program (the "ATM Program") whereby, from time to time, we may publicly offer and sell our common shares having an aggregate maximum offering price up to $100.0 million by means of ordinary brokers transactions on the New York Stock Exchange (the "NYSE"), in negotiated transactions or in transactions that are deemed to be "at-the-market" offerings as defined in Rule 415 under the Securities Act of 1933, as amended. The Company did not issue any shares under the ATM Program during the three months ended March 31, 2026. As of March 31, 2026, there was approximately $77.5 million of common shares available for issuance under the ATM Program.</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May 2025, the Board of Trustees authorized and approved a $25.0 million share repurchase program (the "Share Repurchase Program") of our common shares. Under the Share Repurchase Program, we have the ability to repurchase up to $25.0 million of common shares through open market purchases or other privately negotiated transactions at times and in amounts as we deem appropriate. The Share Repurchase Program has no time limit and may be suspended or discontinued at any time. During the three months ended March 31, 2026, the Company repurchased 904,927 common shares at a weighted-average price per share of $7.35 for an aggregate purchase price, including commissions, of approximately $6.6 million. As of March 31, 2026, there was approximately $9.4 million of common shares available for repurchase under the Share Repurchase Program.</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expect to meet our short-term liquidity requirements generally through existing cash balances and availability under our credit facility. We believe that our existing cash balances and availability under our credit facility will be adequate to fund operating obligations, pay interest on any borrowings and fund dividends in accordance with the requirements for qualification as a REIT under the Code. We expect to meet our long-term liquidity requirements, such as hotel property acquisitions and development, and debt maturities or repayments through additional long-term secured and unsecured borrowings, the issuance of additional equity or debt securities or the possible sale of existing assets.</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intend to continue to invest in hotel properties as suitable opportunities arise. We intend to finance our future investments with free cash flow, the net proceeds from additional issuances of common and preferred shares, issuances of common units in our Operating Partnership or other securities, borrowings or asset sales. The success of our acquisition strategy depends, in part, on our ability to access additional capital through other sources. There can be no assurance that we will continue to make investments in properties that meet our investment criteria. Additionally, we may choose to dispose of certain hotels as a means to provide liquidity.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had no material off-balance sheet arrangements at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dividend policy for common shares has been to distribute, annually, approximately 100% of our annual taxable income. During the three months ended March 31, 2026, the Company declared total dividends on common shares of $0.10 per share and distributions on LTIP units of $0.10 per unit. We plan to pay dividends required to maintain REIT status. The amount of any dividend is determined by our Board of Trustees.</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Chatham declared dividends of $0.41406 per share of 6.625% Series A Cumulative Redeemable Preferred Shares during the three months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Operators of hotels, in general, possess the ability to adjust room rates daily to reflect the effects of inflation. However, competitive pressures may limit the ability of our management companies to raise room rates. Inflation may also affect our expenses and costs of capital investments by increasing, among other things, the costs of construction, labor, employee-related benefits, food, commodities and other materials, taxes, property and casualty insurance and utilities.</w:t>
      </w:r>
    </w:p>
    <w:p>
      <w:pPr>
        <w:sectPr>
          <w:pgSz w:w="11900" w:h="16838" w:orient="portrait"/>
          <w:cols w:equalWidth="0" w:num="1">
            <w:col w:w="11180"/>
          </w:cols>
          <w:pgMar w:left="320" w:top="121" w:right="399" w:bottom="1041" w:gutter="0" w:footer="0" w:header="0"/>
        </w:sectPr>
      </w:pP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041"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Demand for our hotels is affected by recurring seasonal patterns. Generally, we expect that we will have lower revenue, operating income and cash flow in the first and fourth quarters and higher revenue, operating income and cash flow in the second and third quarters. These general trends are, however, influenced by overall economic cycles and the geographic locations of our hotels. To the extent that cash flow from operations is insufficient during any quarter, due to temporary or seasonal fluctuations in revenue, we expect to utilize cash on hand or borrowings under our credit facility to pay expenses, debt service or to make distributions to our equity 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conformity with GAAP, which requires management to make estimates and assumptions that affect the reported amount of assets and liabilities at the date of our financial statements and the reported amounts of revenues and expenses during the reporting period. While we do not believe the reported amounts would be materially different, application of these policies involves the exercise of judgment and the use of assumptions as to future uncertainties and, as a result, actual results could differ from these estimates. We evaluate our estimates and judgments on an ongoing basis. We base our estimates on experience and on various other assumptions that are believed to be reasonable under the circumstances. All of our significant accounting policies, including certain critical accounting estimates, are disclosed in our Annual Report on Form 10-K for the year ended December 31, 2025.</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may be exposed to interest rate changes primarily as a result of maintaining floating rate borrowings under our revolving credit facility and term loan, assumption of long-term debt in connection with our acquisitions, and upon refinancing of existing debt. Our interest rate risk management objectives are to limit the impact of interest rate changes on earnings and cash flows and to lower overall borrowing costs. To achieve these objectives, we seek to borrow primarily at fixed rates or variable rates with the lowest margins available and, in some cases, with the ability to convert variable rates to fixed rates. With respect to variable rate financing, we will assess interest rate risk by identifying and monitoring changes in interest rate exposures that may adversely impact expected future cash flows and by evaluating hedging opportunities.</w:t>
      </w:r>
    </w:p>
    <w:p>
      <w:pPr>
        <w:spacing w:after="0" w:line="187"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its fixed rate debt by discounting the future cash flows of each instrument at estimated market rates. Rates take into consideration general market conditions, maturity and fair value of the underlying collateral. The estimated fair value of the Company’s fixed rate debt at March 31, 2026 and December 31, 2025 was $149.3 million and $154.0 million, respectively.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March 31, 2026, our consolidated debt was comprised of floating and fixed interest rate debt. The fair value of our fixed rate debt indicates the estimated principal amount of debt having the same debt service requirements that could have been borrowed at the date presented, at then current market interest rates. The following table provides information about the maturities of our financial instruments as of March 31, 2026 that are sensitive to changes in interest rates (dollars in thousands):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Total/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8"/>
        </w:trPr>
        <w:tc>
          <w:tcPr>
            <w:tcW w:w="220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2029</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00" w:type="dxa"/>
            <w:vAlign w:val="bottom"/>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20"/>
                <w:szCs w:val="20"/>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Floating rate: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2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Debt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285,000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285,000</w:t>
            </w:r>
          </w:p>
        </w:tc>
      </w:tr>
      <w:tr>
        <w:trPr>
          <w:trHeight w:val="216"/>
        </w:trPr>
        <w:tc>
          <w:tcPr>
            <w:tcW w:w="2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Average interest rate</w:t>
            </w:r>
          </w:p>
        </w:tc>
        <w:tc>
          <w:tcPr>
            <w:tcW w:w="6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r>
      <w:tr>
        <w:trPr>
          <w:trHeight w:val="209"/>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rate: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Debt</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24,590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23,681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410</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94,544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143,225</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149,256</w:t>
            </w:r>
          </w:p>
        </w:tc>
      </w:tr>
      <w:tr>
        <w:trPr>
          <w:trHeight w:val="216"/>
        </w:trPr>
        <w:tc>
          <w:tcPr>
            <w:tcW w:w="2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Average interest rate</w:t>
            </w:r>
          </w:p>
        </w:tc>
        <w:tc>
          <w:tcPr>
            <w:tcW w:w="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we estimate that a hypothetical 100 basis points increase in SOFR would result in additional interest of approximately $2.9 million annually. This assumes that the amount of floating rate debt outstanding on our revolving credit facility and unsecured term loan remains $285.0 million, the total balance as of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evaluated the effectiveness of the design and operation of our disclosure controls and procedures pursuant to Exchange Act Rule 13a-15(b) as of the end of the period covered by this report. Based on that evaluation, our Chief Executive Officer and Chief Financial Officer have concluded that these disclosure controls and procedures were effective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last fiscal quarter that have materially affected, or are reasonably likely to materially affect, our internal control over financial reporting.</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lawsuits and legal proceedings, including routine litigation arising in the ordinary course of business, regarding the operation of its hotels, its managers and other Company matters. While it is not possible to ascertain the ultimate outcome of such matters, the Company believes that the aggregate identifiable amount of such liabilities, if any, will not have a material adverse impact on its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under Item 1A in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all share repurchases during the first quarter of 2026:</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Shares that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Under the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Plans or</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Paid per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line="216" w:lineRule="exact"/>
              <w:rPr>
                <w:sz w:val="20"/>
                <w:szCs w:val="20"/>
                <w:color w:val="auto"/>
              </w:rPr>
            </w:pPr>
            <w:r>
              <w:rPr>
                <w:rFonts w:ascii="Times New Roman" w:cs="Times New Roman" w:eastAsia="Times New Roman" w:hAnsi="Times New Roman"/>
                <w:sz w:val="16"/>
                <w:szCs w:val="16"/>
                <w:b w:val="1"/>
                <w:bCs w:val="1"/>
                <w:color w:val="auto"/>
              </w:rPr>
              <w:t>Programs</w:t>
            </w:r>
            <w:r>
              <w:rPr>
                <w:rFonts w:ascii="Times New Roman" w:cs="Times New Roman" w:eastAsia="Times New Roman" w:hAnsi="Times New Roman"/>
                <w:sz w:val="25"/>
                <w:szCs w:val="25"/>
                <w:b w:val="1"/>
                <w:bCs w:val="1"/>
                <w:color w:val="auto"/>
                <w:vertAlign w:val="superscript"/>
              </w:rPr>
              <w:t>(1)</w:t>
            </w:r>
          </w:p>
        </w:tc>
      </w:t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0"/>
                <w:szCs w:val="20"/>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2026 - January 31, 2026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477,254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477,254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2026 - February 28, 2026</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2026 - March 31, 2026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387,673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387,673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904,927</w:t>
            </w:r>
          </w:p>
        </w:tc>
        <w:tc>
          <w:tcPr>
            <w:tcW w:w="2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904,927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9,385</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firstLine="8"/>
        <w:spacing w:after="0" w:line="261"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our Board of Trustees authorized and approved a $25.0 million share repurchase program of our common shares. Under this program, we may repurchase common shares through open market purchases or other privately negotiated transactions at times and in amounts as we deem appropriate. The program has no time limit and may be suspended or discontinued at any time. As of March 31, 2026, $9.4 million of common shares remained available for repurchase under this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620" w:firstLine="648"/>
        <w:spacing w:after="0" w:line="312" w:lineRule="auto"/>
        <w:rPr>
          <w:sz w:val="20"/>
          <w:szCs w:val="20"/>
          <w:color w:val="auto"/>
        </w:rPr>
      </w:pPr>
      <w:r>
        <w:rPr>
          <w:rFonts w:ascii="Times New Roman" w:cs="Times New Roman" w:eastAsia="Times New Roman" w:hAnsi="Times New Roman"/>
          <w:sz w:val="17"/>
          <w:szCs w:val="17"/>
          <w:color w:val="auto"/>
        </w:rPr>
        <w:t>During the three months ended March 31, 2026, none of the Company's trustees or officers adopted or terminated any Rule 10b5-1 trading arrangement or non-Rule 10b5-1 trading arrangement (as such terms are defined in Item 408 of Regulation S-K of the Securities Act of 1933).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0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700" w:type="dxa"/>
            <w:vAlign w:val="bottom"/>
          </w:tcPr>
          <w:p>
            <w:pPr>
              <w:spacing w:after="0"/>
              <w:rPr>
                <w:sz w:val="18"/>
                <w:szCs w:val="18"/>
                <w:color w:val="auto"/>
              </w:rPr>
            </w:pPr>
          </w:p>
        </w:tc>
        <w:tc>
          <w:tcPr>
            <w:tcW w:w="8320" w:type="dxa"/>
            <w:vAlign w:val="bottom"/>
          </w:tcPr>
          <w:p>
            <w:pPr>
              <w:spacing w:after="0"/>
              <w:rPr>
                <w:sz w:val="18"/>
                <w:szCs w:val="18"/>
                <w:color w:val="auto"/>
              </w:rPr>
            </w:pPr>
          </w:p>
        </w:tc>
      </w:tr>
      <w:tr>
        <w:trPr>
          <w:trHeight w:val="198"/>
        </w:trPr>
        <w:tc>
          <w:tcPr>
            <w:tcW w:w="140" w:type="dxa"/>
            <w:vAlign w:val="bottom"/>
          </w:tcPr>
          <w:p>
            <w:pPr>
              <w:spacing w:after="0"/>
              <w:rPr>
                <w:sz w:val="17"/>
                <w:szCs w:val="17"/>
                <w:color w:val="auto"/>
              </w:rPr>
            </w:pPr>
          </w:p>
        </w:tc>
        <w:tc>
          <w:tcPr>
            <w:tcW w:w="1000" w:type="dxa"/>
            <w:vAlign w:val="bottom"/>
            <w:gridSpan w:val="4"/>
          </w:tcPr>
          <w:p>
            <w:pPr>
              <w:jc w:val="center"/>
              <w:ind w:right="3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0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r:id="rId39">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Articles of Amendment and Restatement of Chatham Lodging Trust </w:t>
            </w:r>
            <w:r>
              <w:rPr>
                <w:rFonts w:ascii="Times New Roman" w:cs="Times New Roman" w:eastAsia="Times New Roman" w:hAnsi="Times New Roman"/>
                <w:sz w:val="29"/>
                <w:szCs w:val="29"/>
                <w:color w:val="auto"/>
                <w:vertAlign w:val="superscript"/>
              </w:rPr>
              <w:t>(1)</w:t>
            </w:r>
          </w:p>
        </w:tc>
      </w:tr>
      <w:tr>
        <w:trPr>
          <w:trHeight w:val="412"/>
        </w:trPr>
        <w:tc>
          <w:tcPr>
            <w:tcW w:w="2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r:id="rId40">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Articles of Amendment of Chatham Lodging Trust </w:t>
            </w:r>
            <w:r>
              <w:rPr>
                <w:rFonts w:ascii="Times New Roman" w:cs="Times New Roman" w:eastAsia="Times New Roman" w:hAnsi="Times New Roman"/>
                <w:sz w:val="29"/>
                <w:szCs w:val="29"/>
                <w:color w:val="auto"/>
                <w:vertAlign w:val="superscript"/>
              </w:rPr>
              <w:t>(2)</w:t>
            </w:r>
          </w:p>
        </w:tc>
      </w:tr>
      <w:tr>
        <w:trPr>
          <w:trHeight w:val="412"/>
        </w:trPr>
        <w:tc>
          <w:tcPr>
            <w:tcW w:w="2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r:id="rId41">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Fourth Amended and Restated Bylaws of Chatham Lodging Trust </w:t>
            </w:r>
            <w:r>
              <w:rPr>
                <w:rFonts w:ascii="Times New Roman" w:cs="Times New Roman" w:eastAsia="Times New Roman" w:hAnsi="Times New Roman"/>
                <w:sz w:val="29"/>
                <w:szCs w:val="29"/>
                <w:color w:val="auto"/>
                <w:vertAlign w:val="superscript"/>
              </w:rPr>
              <w:t>(3)</w:t>
            </w:r>
          </w:p>
        </w:tc>
      </w:tr>
      <w:tr>
        <w:trPr>
          <w:trHeight w:val="412"/>
        </w:trPr>
        <w:tc>
          <w:tcPr>
            <w:tcW w:w="2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r:id="rId42">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4</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 Supplementary to the Company's Declaration of Trust designating the 6.625% Series A Cumulative Redeemable Preferred Shares</w:t>
            </w:r>
          </w:p>
        </w:tc>
      </w:tr>
      <w:tr>
        <w:trPr>
          <w:trHeight w:val="40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of Beneficial Interest, $0.01 par value per share </w:t>
            </w:r>
            <w:r>
              <w:rPr>
                <w:rFonts w:ascii="Times New Roman" w:cs="Times New Roman" w:eastAsia="Times New Roman" w:hAnsi="Times New Roman"/>
                <w:sz w:val="29"/>
                <w:szCs w:val="29"/>
                <w:color w:val="auto"/>
                <w:vertAlign w:val="superscript"/>
              </w:rPr>
              <w:t>(4)</w:t>
            </w:r>
          </w:p>
        </w:tc>
      </w:tr>
      <w:tr>
        <w:trPr>
          <w:trHeight w:val="228"/>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00"/>
              </w:rPr>
              <w:t>†</w:t>
            </w: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13a-14(a)/15d-14(a) of the Securities Exchange Act of 1934, as amended, as</w:t>
            </w:r>
          </w:p>
        </w:tc>
      </w:tr>
      <w:tr>
        <w:trPr>
          <w:trHeight w:val="236"/>
        </w:trPr>
        <w:tc>
          <w:tcPr>
            <w:tcW w:w="1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92"/>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00"/>
              </w:rPr>
              <w:t>†</w:t>
            </w: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13a-14(a)/15d-14(a) of the Securities Exchange Act of 1934, as amended, as</w:t>
            </w:r>
          </w:p>
        </w:tc>
      </w:tr>
      <w:tr>
        <w:trPr>
          <w:trHeight w:val="237"/>
        </w:trPr>
        <w:tc>
          <w:tcPr>
            <w:tcW w:w="1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92"/>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00"/>
              </w:rPr>
              <w:t>††</w:t>
            </w: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1350, as adopted pursuant to Section 906 of the</w:t>
            </w:r>
          </w:p>
        </w:tc>
      </w:tr>
      <w:tr>
        <w:trPr>
          <w:trHeight w:val="237"/>
        </w:trPr>
        <w:tc>
          <w:tcPr>
            <w:tcW w:w="1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432"/>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The instance document does not appear in the interactive data file because its XBRL tags are embedded within the inline XBRL document.</w:t>
            </w:r>
          </w:p>
        </w:tc>
      </w:tr>
      <w:tr>
        <w:trPr>
          <w:trHeight w:val="432"/>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14"/>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 the cover page interactive data file does not appear in the interactive date file because its XBRL tags are</w:t>
            </w:r>
          </w:p>
        </w:tc>
      </w:tr>
      <w:tr>
        <w:trPr>
          <w:trHeight w:val="234"/>
        </w:trPr>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bl>
    <w:p>
      <w:pPr>
        <w:spacing w:after="0" w:line="198" w:lineRule="exact"/>
        <w:rPr>
          <w:sz w:val="20"/>
          <w:szCs w:val="20"/>
          <w:color w:val="auto"/>
        </w:rPr>
      </w:pPr>
    </w:p>
    <w:p>
      <w:pPr>
        <w:ind w:left="180"/>
        <w:spacing w:after="0"/>
        <w:tabs>
          <w:tab w:leader="none" w:pos="400" w:val="left"/>
        </w:tabs>
        <w:rPr>
          <w:sz w:val="20"/>
          <w:szCs w:val="20"/>
          <w:color w:val="auto"/>
        </w:rPr>
      </w:pPr>
      <w:r>
        <w:rPr>
          <w:rFonts w:ascii="Times New Roman" w:cs="Times New Roman" w:eastAsia="Times New Roman" w:hAnsi="Times New Roman"/>
          <w:sz w:val="18"/>
          <w:szCs w:val="18"/>
          <w:color w:val="auto"/>
        </w:rPr>
        <w:t>†</w:t>
        <w:tab/>
        <w:t>Filed herewith.</w:t>
      </w:r>
    </w:p>
    <w:p>
      <w:pPr>
        <w:spacing w:after="0" w:line="225" w:lineRule="exact"/>
        <w:rPr>
          <w:sz w:val="20"/>
          <w:szCs w:val="20"/>
          <w:color w:val="auto"/>
        </w:rPr>
      </w:pPr>
    </w:p>
    <w:p>
      <w:pPr>
        <w:ind w:left="420" w:hanging="293"/>
        <w:spacing w:after="0"/>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rFonts w:ascii="Times New Roman" w:cs="Times New Roman" w:eastAsia="Times New Roman" w:hAnsi="Times New Roman"/>
          <w:sz w:val="18"/>
          <w:szCs w:val="18"/>
          <w:color w:val="auto"/>
        </w:rPr>
      </w:pPr>
    </w:p>
    <w:p>
      <w:pPr>
        <w:ind w:left="420" w:right="320" w:hanging="248"/>
        <w:spacing w:after="0" w:line="282" w:lineRule="auto"/>
        <w:tabs>
          <w:tab w:leader="none" w:pos="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Company's Annual Report on Form 10-K filed with the SEC on February 29, 2016 (File No. 001-34693).</w:t>
      </w:r>
    </w:p>
    <w:p>
      <w:pPr>
        <w:spacing w:after="0" w:line="161" w:lineRule="exact"/>
        <w:rPr>
          <w:rFonts w:ascii="Times New Roman" w:cs="Times New Roman" w:eastAsia="Times New Roman" w:hAnsi="Times New Roman"/>
          <w:sz w:val="18"/>
          <w:szCs w:val="18"/>
          <w:color w:val="auto"/>
        </w:rPr>
      </w:pPr>
    </w:p>
    <w:p>
      <w:pPr>
        <w:ind w:left="420" w:hanging="248"/>
        <w:spacing w:after="0"/>
        <w:tabs>
          <w:tab w:leader="none" w:pos="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3.2 to the Company's Quarterly Report on Form 10-Q filed with the SEC on May 4, 2023 (File No. 001-34693).</w:t>
      </w:r>
    </w:p>
    <w:p>
      <w:pPr>
        <w:spacing w:after="0" w:line="225" w:lineRule="exact"/>
        <w:rPr>
          <w:rFonts w:ascii="Times New Roman" w:cs="Times New Roman" w:eastAsia="Times New Roman" w:hAnsi="Times New Roman"/>
          <w:sz w:val="18"/>
          <w:szCs w:val="18"/>
          <w:color w:val="auto"/>
        </w:rPr>
      </w:pPr>
    </w:p>
    <w:p>
      <w:pPr>
        <w:ind w:left="420" w:right="400" w:hanging="248"/>
        <w:spacing w:after="0" w:line="282" w:lineRule="auto"/>
        <w:tabs>
          <w:tab w:leader="none" w:pos="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Company's Current Report on Form 8-K filed with the SEC on February 24, 2023 (File No. 001-34693).</w:t>
      </w:r>
    </w:p>
    <w:p>
      <w:pPr>
        <w:spacing w:after="0" w:line="161" w:lineRule="exact"/>
        <w:rPr>
          <w:rFonts w:ascii="Times New Roman" w:cs="Times New Roman" w:eastAsia="Times New Roman" w:hAnsi="Times New Roman"/>
          <w:sz w:val="18"/>
          <w:szCs w:val="18"/>
          <w:color w:val="auto"/>
        </w:rPr>
      </w:pPr>
    </w:p>
    <w:p>
      <w:pPr>
        <w:ind w:left="420" w:right="140" w:hanging="248"/>
        <w:spacing w:after="0" w:line="282" w:lineRule="auto"/>
        <w:tabs>
          <w:tab w:leader="none" w:pos="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3.3 of the Company's Registration Statement on Form 8-A filed with the SEC on June 25, 2021 (File No. 001-34693).</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CHATHAM LODGING TRUST</w:t>
      </w:r>
    </w:p>
    <w:p>
      <w:pPr>
        <w:spacing w:after="0" w:line="229" w:lineRule="exact"/>
        <w:rPr>
          <w:sz w:val="20"/>
          <w:szCs w:val="20"/>
          <w:color w:val="auto"/>
        </w:rPr>
      </w:pPr>
    </w:p>
    <w:p>
      <w:pPr>
        <w:spacing w:after="0"/>
        <w:tabs>
          <w:tab w:leader="none" w:pos="660" w:val="left"/>
          <w:tab w:leader="none" w:pos="5840" w:val="left"/>
        </w:tabs>
        <w:rPr>
          <w:sz w:val="20"/>
          <w:szCs w:val="20"/>
          <w:color w:val="auto"/>
        </w:rPr>
      </w:pPr>
      <w:r>
        <w:rPr>
          <w:rFonts w:ascii="Times New Roman" w:cs="Times New Roman" w:eastAsia="Times New Roman" w:hAnsi="Times New Roman"/>
          <w:sz w:val="18"/>
          <w:szCs w:val="18"/>
          <w:color w:val="auto"/>
        </w:rPr>
        <w:t>Dated:</w:t>
        <w:tab/>
        <w:t>May 7, 2026</w:t>
      </w:r>
      <w:r>
        <w:rPr>
          <w:sz w:val="20"/>
          <w:szCs w:val="20"/>
          <w:color w:val="auto"/>
        </w:rPr>
        <w:tab/>
      </w:r>
      <w:r>
        <w:rPr>
          <w:rFonts w:ascii="Times New Roman" w:cs="Times New Roman" w:eastAsia="Times New Roman" w:hAnsi="Times New Roman"/>
          <w:sz w:val="17"/>
          <w:szCs w:val="17"/>
          <w:color w:val="auto"/>
        </w:rPr>
        <w:t>By: /s/ JEREMY B. WEGNER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Jeremy B. Wegner</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21" w:right="3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H. Fisher, certify that:</w:t>
      </w:r>
    </w:p>
    <w:p>
      <w:pPr>
        <w:spacing w:after="0" w:line="225"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Chatham Lodging Trust;</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520" w:hanging="486"/>
        <w:spacing w:after="0" w:line="312" w:lineRule="auto"/>
        <w:tabs>
          <w:tab w:leader="none" w:pos="98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trustees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CHATHAM LODGING TRUST</w:t>
      </w:r>
    </w:p>
    <w:p>
      <w:pPr>
        <w:spacing w:after="0" w:line="229" w:lineRule="exact"/>
        <w:rPr>
          <w:sz w:val="20"/>
          <w:szCs w:val="20"/>
          <w:color w:val="auto"/>
        </w:rPr>
      </w:pPr>
    </w:p>
    <w:p>
      <w:pPr>
        <w:ind w:left="980"/>
        <w:spacing w:after="0"/>
        <w:tabs>
          <w:tab w:leader="none" w:pos="1620" w:val="left"/>
          <w:tab w:leader="none" w:pos="6620" w:val="left"/>
        </w:tabs>
        <w:rPr>
          <w:sz w:val="20"/>
          <w:szCs w:val="20"/>
          <w:color w:val="auto"/>
        </w:rPr>
      </w:pPr>
      <w:r>
        <w:rPr>
          <w:rFonts w:ascii="Times New Roman" w:cs="Times New Roman" w:eastAsia="Times New Roman" w:hAnsi="Times New Roman"/>
          <w:sz w:val="18"/>
          <w:szCs w:val="18"/>
          <w:color w:val="auto"/>
        </w:rPr>
        <w:t>Dated:</w:t>
        <w:tab/>
        <w:t>May 7, 2026</w:t>
      </w:r>
      <w:r>
        <w:rPr>
          <w:sz w:val="20"/>
          <w:szCs w:val="20"/>
          <w:color w:val="auto"/>
        </w:rPr>
        <w:tab/>
      </w:r>
      <w:r>
        <w:rPr>
          <w:rFonts w:ascii="Times New Roman" w:cs="Times New Roman" w:eastAsia="Times New Roman" w:hAnsi="Times New Roman"/>
          <w:sz w:val="17"/>
          <w:szCs w:val="17"/>
          <w:color w:val="auto"/>
        </w:rPr>
        <w:t>/s/ JEFFREY H.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Jeffrey H. Fisher</w:t>
      </w:r>
    </w:p>
    <w:p>
      <w:pPr>
        <w:spacing w:after="0" w:line="2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Jeremy B. Wegner, certify that:</w:t>
      </w:r>
    </w:p>
    <w:p>
      <w:pPr>
        <w:spacing w:after="0" w:line="225"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Chatham Lodging Trust;</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520" w:hanging="486"/>
        <w:spacing w:after="0" w:line="312" w:lineRule="auto"/>
        <w:tabs>
          <w:tab w:leader="none" w:pos="98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trustees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CHATHAM LODGING TRUST</w:t>
      </w:r>
    </w:p>
    <w:p>
      <w:pPr>
        <w:spacing w:after="0" w:line="229" w:lineRule="exact"/>
        <w:rPr>
          <w:sz w:val="20"/>
          <w:szCs w:val="20"/>
          <w:color w:val="auto"/>
        </w:rPr>
      </w:pPr>
    </w:p>
    <w:p>
      <w:pPr>
        <w:ind w:left="980"/>
        <w:spacing w:after="0"/>
        <w:tabs>
          <w:tab w:leader="none" w:pos="1640" w:val="left"/>
          <w:tab w:leader="none" w:pos="6540" w:val="left"/>
        </w:tabs>
        <w:rPr>
          <w:sz w:val="20"/>
          <w:szCs w:val="20"/>
          <w:color w:val="auto"/>
        </w:rPr>
      </w:pPr>
      <w:r>
        <w:rPr>
          <w:rFonts w:ascii="Times New Roman" w:cs="Times New Roman" w:eastAsia="Times New Roman" w:hAnsi="Times New Roman"/>
          <w:sz w:val="18"/>
          <w:szCs w:val="18"/>
          <w:color w:val="auto"/>
        </w:rPr>
        <w:t>Dated:</w:t>
        <w:tab/>
        <w:t>May 7, 2026</w:t>
      </w:r>
      <w:r>
        <w:rPr>
          <w:sz w:val="20"/>
          <w:szCs w:val="20"/>
          <w:color w:val="auto"/>
        </w:rPr>
        <w:tab/>
      </w:r>
      <w:r>
        <w:rPr>
          <w:rFonts w:ascii="Times New Roman" w:cs="Times New Roman" w:eastAsia="Times New Roman" w:hAnsi="Times New Roman"/>
          <w:sz w:val="17"/>
          <w:szCs w:val="17"/>
          <w:color w:val="auto"/>
        </w:rPr>
        <w:t>/s/ JEREMY B. WEGNER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Jeremy B. Wegner</w:t>
      </w:r>
    </w:p>
    <w:p>
      <w:pPr>
        <w:spacing w:after="0" w:line="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Chatham Lodging Trust (the “Company”) on Form 10-Q for the period ended March 31, 2026 as filed with the Securities and Exchange Commission on the date hereof (the “Report”), I, Jeffrey H. Fisher, Chairman, President and Chief Executive Officer of the Company and I, Jeremy B. Wegner, Senior Vice President and Chief Financial Officer of the Company, certify, to our knowledge, pursuant to 18 U.S.C. Section 1350, as adopted pursuant to Section 906 of the Sarbanes-Oxley Act of 2002, that:</w:t>
      </w:r>
    </w:p>
    <w:p>
      <w:pPr>
        <w:spacing w:after="0" w:line="180"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b w:val="1"/>
          <w:bCs w:val="1"/>
          <w:color w:val="auto"/>
        </w:rPr>
        <w:t>CHATHAM LODGING TRUST</w:t>
      </w:r>
    </w:p>
    <w:p>
      <w:pPr>
        <w:spacing w:after="0" w:line="229" w:lineRule="exact"/>
        <w:rPr>
          <w:sz w:val="20"/>
          <w:szCs w:val="20"/>
          <w:color w:val="auto"/>
        </w:rPr>
      </w:pPr>
    </w:p>
    <w:p>
      <w:pPr>
        <w:ind w:left="340"/>
        <w:spacing w:after="0"/>
        <w:tabs>
          <w:tab w:leader="none" w:pos="1000" w:val="left"/>
          <w:tab w:leader="none" w:pos="6240" w:val="left"/>
        </w:tabs>
        <w:rPr>
          <w:sz w:val="20"/>
          <w:szCs w:val="20"/>
          <w:color w:val="auto"/>
        </w:rPr>
      </w:pPr>
      <w:r>
        <w:rPr>
          <w:rFonts w:ascii="Times New Roman" w:cs="Times New Roman" w:eastAsia="Times New Roman" w:hAnsi="Times New Roman"/>
          <w:sz w:val="18"/>
          <w:szCs w:val="18"/>
          <w:color w:val="auto"/>
        </w:rPr>
        <w:t>Dated:</w:t>
        <w:tab/>
        <w:t>May 7, 2026</w:t>
      </w:r>
      <w:r>
        <w:rPr>
          <w:sz w:val="20"/>
          <w:szCs w:val="20"/>
          <w:color w:val="auto"/>
        </w:rPr>
        <w:tab/>
      </w:r>
      <w:r>
        <w:rPr>
          <w:rFonts w:ascii="Times New Roman" w:cs="Times New Roman" w:eastAsia="Times New Roman" w:hAnsi="Times New Roman"/>
          <w:sz w:val="17"/>
          <w:szCs w:val="17"/>
          <w:color w:val="auto"/>
        </w:rPr>
        <w:t>/s/ JEFFREY H.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629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b w:val="1"/>
          <w:bCs w:val="1"/>
          <w:color w:val="auto"/>
        </w:rPr>
        <w:t>Jeffrey H. Fisher</w:t>
      </w:r>
    </w:p>
    <w:p>
      <w:pPr>
        <w:spacing w:after="0" w:line="2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/s/ JEREMY B. WEGNER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629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b w:val="1"/>
          <w:bCs w:val="1"/>
          <w:color w:val="auto"/>
        </w:rPr>
        <w:t>Jeremy B. Wegner</w:t>
      </w:r>
    </w:p>
    <w:p>
      <w:pPr>
        <w:spacing w:after="0" w:line="2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1."/>
      <w:numFmt w:val="decimal"/>
      <w:start w:val="5"/>
    </w:lvl>
  </w:abstractNum>
  <w:abstractNum w:abstractNumId="7">
    <w:nsid w:val="257130A3"/>
    <w:multiLevelType w:val="hybridMultilevel"/>
    <w:lvl w:ilvl="0">
      <w:lvlJc w:val="left"/>
      <w:lvlText w:val="%1."/>
      <w:numFmt w:val="decimal"/>
      <w:start w:val="6"/>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7"/>
    </w:lvl>
  </w:abstractNum>
  <w:abstractNum w:abstractNumId="10">
    <w:nsid w:val="628C895D"/>
    <w:multiLevelType w:val="hybridMultilevel"/>
    <w:lvl w:ilvl="0">
      <w:lvlJc w:val="left"/>
      <w:lvlText w:val="%1."/>
      <w:numFmt w:val="decimal"/>
      <w:start w:val="8"/>
    </w:lvl>
  </w:abstractNum>
  <w:abstractNum w:abstractNumId="11">
    <w:nsid w:val="333AB105"/>
    <w:multiLevelType w:val="hybridMultilevel"/>
    <w:lvl w:ilvl="0">
      <w:lvlJc w:val="left"/>
      <w:lvlText w:val="%1."/>
      <w:numFmt w:val="decimal"/>
      <w:start w:val="9"/>
    </w:lvl>
  </w:abstractNum>
  <w:abstractNum w:abstractNumId="12">
    <w:nsid w:val="721DA317"/>
    <w:multiLevelType w:val="hybridMultilevel"/>
    <w:lvl w:ilvl="0">
      <w:lvlJc w:val="left"/>
      <w:lvlText w:val="%1."/>
      <w:numFmt w:val="decimal"/>
      <w:start w:val="10"/>
    </w:lvl>
  </w:abstractNum>
  <w:abstractNum w:abstractNumId="13">
    <w:nsid w:val="2443A858"/>
    <w:multiLevelType w:val="hybridMultilevel"/>
    <w:lvl w:ilvl="0">
      <w:lvlJc w:val="left"/>
      <w:lvlText w:val="%1."/>
      <w:numFmt w:val="decimal"/>
      <w:start w:val="1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2"/>
    </w:lvl>
  </w:abstractNum>
  <w:abstractNum w:abstractNumId="16">
    <w:nsid w:val="75A2A8D4"/>
    <w:multiLevelType w:val="hybridMultilevel"/>
    <w:lvl w:ilvl="0">
      <w:lvlJc w:val="left"/>
      <w:lvlText w:val="%1."/>
      <w:numFmt w:val="decimal"/>
      <w:start w:val="13"/>
    </w:lvl>
  </w:abstractNum>
  <w:abstractNum w:abstractNumId="17">
    <w:nsid w:val="8EDBDAB"/>
    <w:multiLevelType w:val="hybridMultilevel"/>
    <w:lvl w:ilvl="0">
      <w:lvlJc w:val="left"/>
      <w:lvlText w:val="%1."/>
      <w:numFmt w:val="decimal"/>
      <w:start w:val="14"/>
    </w:lvl>
  </w:abstractNum>
  <w:abstractNum w:abstractNumId="18">
    <w:nsid w:val="79838CB2"/>
    <w:multiLevelType w:val="hybridMultilevel"/>
    <w:lvl w:ilvl="0">
      <w:lvlJc w:val="left"/>
      <w:lvlText w:val="%1."/>
      <w:numFmt w:val="decimal"/>
      <w:start w:val="15"/>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6"/>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lowerRoman"/>
      <w:start w:val="3"/>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
      <w:numFmt w:val="bullet"/>
      <w:start w:val="1"/>
    </w:lvl>
    <w:lvl w:ilvl="1">
      <w:lvlJc w:val="left"/>
      <w:lvlText w:val="(%2)"/>
      <w:numFmt w:val="decimal"/>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39" Type="http://schemas.openxmlformats.org/officeDocument/2006/relationships/hyperlink" Target="http://www.sec.gov/Archives/edgar/data/1476045/000147604516000096/cldtex31articlesamended.htm" TargetMode="External"/><Relationship Id="rId40" Type="http://schemas.openxmlformats.org/officeDocument/2006/relationships/hyperlink" Target="http://www.sec.gov/Archives/edgar/data/1476045/000147604523000047/cldtex3220230331.htm" TargetMode="External"/><Relationship Id="rId41" Type="http://schemas.openxmlformats.org/officeDocument/2006/relationships/hyperlink" Target="http://www.sec.gov/Archives/edgar/data/1476045/000147604523000023/chathamlodgingtrustbylaw.htm" TargetMode="External"/><Relationship Id="rId42" Type="http://schemas.openxmlformats.org/officeDocument/2006/relationships/hyperlink" Target="http://www.sec.gov/Archives/edgar/data/1476045/000119312521200509/d143480d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2026-05-07T12:07:10Z</dcterms:created>
  <dcterms:modified xsi:type="dcterms:W3CDTF">2026-05-07T12:07:10Z</dcterms:modified>
</cp:coreProperties>
</file>