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CHATHAM LODGING TRUST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001-34693</w:t>
            </w:r>
          </w:p>
        </w:tc>
        <w:tc>
          <w:tcPr>
            <w:tcW w:w="28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27-1200777</w:t>
            </w:r>
          </w:p>
        </w:tc>
      </w:tr>
      <w:tr>
        <w:trPr>
          <w:trHeight w:val="216"/>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3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222 Lakeview Avenue, Suite 200</w:t>
            </w:r>
          </w:p>
        </w:tc>
        <w:tc>
          <w:tcPr>
            <w:tcW w:w="4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West Palm Beach,</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8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33401</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80" w:type="dxa"/>
            <w:vAlign w:val="bottom"/>
          </w:tcPr>
          <w:p>
            <w:pPr>
              <w:spacing w:after="0"/>
              <w:rPr>
                <w:sz w:val="20"/>
                <w:szCs w:val="20"/>
                <w:color w:val="auto"/>
              </w:rPr>
            </w:pPr>
          </w:p>
        </w:tc>
        <w:tc>
          <w:tcPr>
            <w:tcW w:w="2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(Zip Code)</w:t>
            </w:r>
          </w:p>
        </w:tc>
      </w:tr>
      <w:tr>
        <w:trPr>
          <w:trHeight w:val="319"/>
        </w:trPr>
        <w:tc>
          <w:tcPr>
            <w:tcW w:w="300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(561) 802-4477</w:t>
            </w: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40" w:type="dxa"/>
            <w:vAlign w:val="bottom"/>
          </w:tcPr>
          <w:p>
            <w:pPr>
              <w:spacing w:after="0"/>
              <w:rPr>
                <w:sz w:val="20"/>
                <w:szCs w:val="20"/>
                <w:color w:val="auto"/>
              </w:rPr>
            </w:pP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 Shares of Beneficial Interest, $0.01 par</w:t>
            </w:r>
          </w:p>
        </w:tc>
        <w:tc>
          <w:tcPr>
            <w:tcW w:w="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CLDT</w:t>
            </w: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6.625% Series A Cumulative Redeemable Preferred</w:t>
            </w:r>
          </w:p>
        </w:tc>
        <w:tc>
          <w:tcPr>
            <w:tcW w:w="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CLDT-PA</w:t>
            </w: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7, 2026, Chatham Lodging Trust issued a press release announcing its results of operations for the three months ended March 31, 2026. A copy of the press release is attached hereto as Exhibit 99.1 to this report and is incorporated herein by reference.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liabilities of that Section.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the information in Item 2.02 of this Current Report on Form 8-K, including Exhibit 99.1, shall not be deemed to be incorporated by reference into any filing or other document pursuant to the Securities Act of 1933, as amended, except as shall be expressly set forth by specific reference in such filing or document.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160" w:type="dxa"/>
            <w:vAlign w:val="bottom"/>
          </w:tcPr>
          <w:p>
            <w:pPr>
              <w:spacing w:after="0"/>
              <w:rPr>
                <w:sz w:val="20"/>
                <w:szCs w:val="20"/>
                <w:color w:val="auto"/>
              </w:rPr>
            </w:pPr>
          </w:p>
        </w:tc>
        <w:tc>
          <w:tcPr>
            <w:tcW w:w="7740" w:type="dxa"/>
            <w:vAlign w:val="bottom"/>
          </w:tcPr>
          <w:p>
            <w:pPr>
              <w:spacing w:after="0"/>
              <w:rPr>
                <w:sz w:val="20"/>
                <w:szCs w:val="20"/>
                <w:color w:val="auto"/>
              </w:rPr>
            </w:pPr>
          </w:p>
        </w:tc>
      </w:tr>
      <w:tr>
        <w:trPr>
          <w:trHeight w:val="432"/>
        </w:trPr>
        <w:tc>
          <w:tcPr>
            <w:tcW w:w="2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160" w:type="dxa"/>
            <w:vAlign w:val="bottom"/>
          </w:tcPr>
          <w:p>
            <w:pPr>
              <w:spacing w:after="0"/>
              <w:rPr>
                <w:sz w:val="24"/>
                <w:szCs w:val="24"/>
                <w:color w:val="auto"/>
              </w:rPr>
            </w:pPr>
          </w:p>
        </w:tc>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9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Press Release Dated May 7, 2026 Announcing First Quarter 2026 Results</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2020" w:type="dxa"/>
            <w:vAlign w:val="bottom"/>
          </w:tcPr>
          <w:p>
            <w:pPr>
              <w:spacing w:after="0"/>
              <w:rPr>
                <w:sz w:val="20"/>
                <w:szCs w:val="20"/>
                <w:color w:val="auto"/>
              </w:rPr>
            </w:pPr>
          </w:p>
        </w:tc>
        <w:tc>
          <w:tcPr>
            <w:tcW w:w="89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CHATHAM LODGING TRUST</w:t>
      </w:r>
    </w:p>
    <w:p>
      <w:pPr>
        <w:spacing w:after="0" w:line="223" w:lineRule="exact"/>
        <w:rPr>
          <w:sz w:val="20"/>
          <w:szCs w:val="20"/>
          <w:color w:val="auto"/>
        </w:rPr>
      </w:pPr>
    </w:p>
    <w:p>
      <w:pPr>
        <w:ind w:left="1240"/>
        <w:spacing w:after="0"/>
        <w:tabs>
          <w:tab w:leader="none" w:pos="5180" w:val="left"/>
          <w:tab w:leader="none" w:pos="584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Jeremy B.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18415</wp:posOffset>
            </wp:positionV>
            <wp:extent cx="3420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Name: Jeremy B. Wegner</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Title: Senior Vice President and Chief Financial Officer</w:t>
      </w:r>
    </w:p>
    <w:p>
      <w:pPr>
        <w:sectPr>
          <w:pgSz w:w="11900" w:h="16838" w:orient="portrait"/>
          <w:cols w:equalWidth="0" w:num="1">
            <w:col w:w="11200"/>
          </w:cols>
          <w:pgMar w:left="320" w:top="576"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Immediate Release</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Exhibit 99.1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540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Dennis Craven (Company)</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Chris Daly (Media)</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DG Public Relations</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(561) 227-1386</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 864-5553</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Chatham Lodging Announces First Quarter 2026 Results</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i w:val="1"/>
          <w:iCs w:val="1"/>
          <w:color w:val="auto"/>
        </w:rPr>
        <w:t>Increases Guidance 15% following Strong Operating Results, Accretive Acquisition and Share Repurchases</w:t>
      </w:r>
    </w:p>
    <w:p>
      <w:pPr>
        <w:spacing w:after="0" w:line="209" w:lineRule="exact"/>
        <w:rPr>
          <w:sz w:val="20"/>
          <w:szCs w:val="20"/>
          <w:color w:val="auto"/>
        </w:rPr>
      </w:pPr>
    </w:p>
    <w:p>
      <w:pPr>
        <w:jc w:val="both"/>
        <w:ind w:right="460"/>
        <w:spacing w:after="0" w:line="244" w:lineRule="auto"/>
        <w:rPr>
          <w:sz w:val="20"/>
          <w:szCs w:val="20"/>
          <w:color w:val="auto"/>
        </w:rPr>
      </w:pPr>
      <w:r>
        <w:rPr>
          <w:rFonts w:ascii="Times New Roman" w:cs="Times New Roman" w:eastAsia="Times New Roman" w:hAnsi="Times New Roman"/>
          <w:sz w:val="22"/>
          <w:szCs w:val="22"/>
          <w:color w:val="auto"/>
        </w:rPr>
        <w:t>WEST PALM BEACH, Fla., May 7, 2026 — Chatham Lodging Trust (NYSE: CLDT), a lodging real estate investment trust (REIT) that invests in upscale, extended-stay hotels and premium-branded, select-service hotels, today announced results for the first quarter ended March 31,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Key Operating Metrics</w:t>
      </w:r>
    </w:p>
    <w:p>
      <w:pPr>
        <w:spacing w:after="0" w:line="233" w:lineRule="exact"/>
        <w:rPr>
          <w:sz w:val="20"/>
          <w:szCs w:val="20"/>
          <w:color w:val="auto"/>
        </w:rPr>
      </w:pPr>
    </w:p>
    <w:p>
      <w:pPr>
        <w:jc w:val="both"/>
        <w:ind w:left="660" w:right="140" w:hanging="328"/>
        <w:spacing w:after="0" w:line="239"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Portfolio Revenue Per Available Room (RevPAR) </w:t>
      </w:r>
      <w:r>
        <w:rPr>
          <w:rFonts w:ascii="Times New Roman" w:cs="Times New Roman" w:eastAsia="Times New Roman" w:hAnsi="Times New Roman"/>
          <w:sz w:val="22"/>
          <w:szCs w:val="22"/>
          <w:color w:val="auto"/>
        </w:rPr>
        <w:t>– Increased 1 percent to $128 compared to the 2025 first quarter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39 comparable hotels. Occupancy increased 15 basis points to 73 percent and average daily rate (ADR) rose 80 basis points to $177, which represents an all-time first quarter record.</w:t>
      </w:r>
    </w:p>
    <w:p>
      <w:pPr>
        <w:spacing w:after="0" w:line="1" w:lineRule="exact"/>
        <w:rPr>
          <w:rFonts w:ascii="Times New Roman" w:cs="Times New Roman" w:eastAsia="Times New Roman" w:hAnsi="Times New Roman"/>
          <w:sz w:val="22"/>
          <w:szCs w:val="22"/>
          <w:color w:val="auto"/>
        </w:rPr>
      </w:pPr>
    </w:p>
    <w:p>
      <w:pPr>
        <w:ind w:left="660" w:right="980" w:hanging="4"/>
        <w:spacing w:after="0" w:line="230" w:lineRule="auto"/>
        <w:tabs>
          <w:tab w:leader="none" w:pos="79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RevPAR for the four Silicon Valley hotels was up 11 percent. Excluding the Mt. View hotel, which was under renovation for the entire quarter, RevPAR was up a strong 23 percent.</w:t>
      </w:r>
    </w:p>
    <w:p>
      <w:pPr>
        <w:spacing w:after="0" w:line="1" w:lineRule="exact"/>
        <w:rPr>
          <w:rFonts w:ascii="Times New Roman" w:cs="Times New Roman" w:eastAsia="Times New Roman" w:hAnsi="Times New Roman"/>
          <w:sz w:val="22"/>
          <w:szCs w:val="22"/>
          <w:color w:val="auto"/>
        </w:rPr>
      </w:pPr>
    </w:p>
    <w:p>
      <w:pPr>
        <w:ind w:left="780" w:hanging="124"/>
        <w:spacing w:after="0" w:line="230" w:lineRule="auto"/>
        <w:tabs>
          <w:tab w:leader="none" w:pos="78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RevPAR for the recently acquired six-hotel portfolio jumped 6 percent to $108.</w:t>
      </w:r>
    </w:p>
    <w:p>
      <w:pPr>
        <w:ind w:left="660" w:right="28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Net Income (loss) </w:t>
      </w:r>
      <w:r>
        <w:rPr>
          <w:rFonts w:ascii="Times New Roman" w:cs="Times New Roman" w:eastAsia="Times New Roman" w:hAnsi="Times New Roman"/>
          <w:sz w:val="22"/>
          <w:szCs w:val="22"/>
          <w:color w:val="auto"/>
        </w:rPr>
        <w:t>– Incurred a net loss applicable to common shareholders of $6 million compared to a net loss of 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$1 million in the 2025 first quarter (2025 included a gain on sale of assets of $7 million). Net loss to common shareholders per diluted common share was $(0.13) versus net loss per diluted common share of $(0.01) for the same period last year.</w:t>
      </w:r>
    </w:p>
    <w:p>
      <w:pPr>
        <w:spacing w:after="0" w:line="2" w:lineRule="exact"/>
        <w:rPr>
          <w:rFonts w:ascii="Times New Roman" w:cs="Times New Roman" w:eastAsia="Times New Roman" w:hAnsi="Times New Roman"/>
          <w:sz w:val="22"/>
          <w:szCs w:val="22"/>
          <w:color w:val="auto"/>
        </w:rPr>
      </w:pPr>
    </w:p>
    <w:p>
      <w:pPr>
        <w:ind w:left="660" w:right="62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Hotel Margins </w:t>
      </w:r>
      <w:r>
        <w:rPr>
          <w:rFonts w:ascii="Times New Roman" w:cs="Times New Roman" w:eastAsia="Times New Roman" w:hAnsi="Times New Roman"/>
          <w:sz w:val="22"/>
          <w:szCs w:val="22"/>
          <w:color w:val="auto"/>
        </w:rPr>
        <w:t>– Drove GOP margins 60 basis points higher to 40 percent in the 2026 first quarter. Hotel EBITDA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margins surged 135 basis points to 32 percent in the 2026 first quarter.</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Adjusted EBITDA </w:t>
      </w:r>
      <w:r>
        <w:rPr>
          <w:rFonts w:ascii="Times New Roman" w:cs="Times New Roman" w:eastAsia="Times New Roman" w:hAnsi="Times New Roman"/>
          <w:sz w:val="22"/>
          <w:szCs w:val="22"/>
          <w:color w:val="auto"/>
        </w:rPr>
        <w:t>– Adjusted EBITDA rose approximately $500 thousand to $18 million.</w:t>
      </w:r>
    </w:p>
    <w:p>
      <w:pPr>
        <w:ind w:left="660" w:right="40" w:hanging="328"/>
        <w:spacing w:after="0" w:line="234"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Adjusted FFO </w:t>
      </w:r>
      <w:r>
        <w:rPr>
          <w:rFonts w:ascii="Times New Roman" w:cs="Times New Roman" w:eastAsia="Times New Roman" w:hAnsi="Times New Roman"/>
          <w:sz w:val="22"/>
          <w:szCs w:val="22"/>
          <w:color w:val="auto"/>
        </w:rPr>
        <w:t>– AFFO jumped from $9 million in the 2025 first quarter to $10 million in the 2026 first quarter. Adjusted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FFO per diluted share advanced 18 percent to $0.20 compared to $0.17 in the 2025 first quarter. Beginning in 2026, like all other peers, Chatham adds back share-based compensation expense in its calculation of adjusted FFO per share and prior periods have been recast.</w:t>
      </w:r>
    </w:p>
    <w:p>
      <w:pPr>
        <w:spacing w:after="0" w:line="20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following chart summarizes the consolidated financial results for the three months ended March 31, 2026, and 2025, based on all properties owned during those periods, except for RevPAR, which is based on the comparable 39 hotels ($ in millions, except margin percentages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780" w:type="dxa"/>
            <w:vAlign w:val="bottom"/>
            <w:gridSpan w:val="4"/>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4"/>
        </w:trPr>
        <w:tc>
          <w:tcPr>
            <w:tcW w:w="5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5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5540" w:type="dxa"/>
            <w:vAlign w:val="bottom"/>
            <w:tcBorders>
              <w:bottom w:val="single" w:sz="8" w:color="CCEEFF"/>
            </w:tcBorders>
          </w:tcPr>
          <w:p>
            <w:pPr>
              <w:spacing w:after="0"/>
              <w:rPr>
                <w:sz w:val="21"/>
                <w:szCs w:val="21"/>
                <w:color w:val="auto"/>
              </w:rPr>
            </w:pPr>
          </w:p>
        </w:tc>
        <w:tc>
          <w:tcPr>
            <w:tcW w:w="22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2026</w:t>
            </w:r>
          </w:p>
        </w:tc>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2025</w:t>
            </w: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r>
      <w:tr>
        <w:trPr>
          <w:trHeight w:val="236"/>
        </w:trPr>
        <w:tc>
          <w:tcPr>
            <w:tcW w:w="554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Net loss to common shareholders</w:t>
            </w:r>
          </w:p>
        </w:tc>
        <w:tc>
          <w:tcPr>
            <w:tcW w:w="2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gridSpan w:val="2"/>
            <w:shd w:val="clear" w:color="auto" w:fill="CCEEFF"/>
          </w:tcPr>
          <w:p>
            <w:pPr>
              <w:jc w:val="right"/>
              <w:ind w:right="280"/>
              <w:spacing w:after="0" w:line="237" w:lineRule="exact"/>
              <w:rPr>
                <w:sz w:val="20"/>
                <w:szCs w:val="20"/>
                <w:color w:val="auto"/>
              </w:rPr>
            </w:pPr>
            <w:r>
              <w:rPr>
                <w:rFonts w:ascii="Times New Roman" w:cs="Times New Roman" w:eastAsia="Times New Roman" w:hAnsi="Times New Roman"/>
                <w:sz w:val="22"/>
                <w:szCs w:val="22"/>
                <w:color w:val="auto"/>
              </w:rPr>
              <w:t>(6.3)</w:t>
            </w:r>
          </w:p>
        </w:tc>
        <w:tc>
          <w:tcPr>
            <w:tcW w:w="980" w:type="dxa"/>
            <w:vAlign w:val="bottom"/>
            <w:shd w:val="clear" w:color="auto" w:fill="CCEEFF"/>
          </w:tcPr>
          <w:p>
            <w:pPr>
              <w:jc w:val="right"/>
              <w:ind w:right="77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gridSpan w:val="2"/>
            <w:shd w:val="clear" w:color="auto" w:fill="CCEEFF"/>
          </w:tcPr>
          <w:p>
            <w:pPr>
              <w:jc w:val="right"/>
              <w:ind w:right="160"/>
              <w:spacing w:after="0" w:line="237" w:lineRule="exact"/>
              <w:rPr>
                <w:sz w:val="20"/>
                <w:szCs w:val="20"/>
                <w:color w:val="auto"/>
              </w:rPr>
            </w:pPr>
            <w:r>
              <w:rPr>
                <w:rFonts w:ascii="Times New Roman" w:cs="Times New Roman" w:eastAsia="Times New Roman" w:hAnsi="Times New Roman"/>
                <w:sz w:val="22"/>
                <w:szCs w:val="22"/>
                <w:color w:val="auto"/>
              </w:rPr>
              <w:t>(0.5)</w:t>
            </w:r>
          </w:p>
        </w:tc>
      </w:tr>
      <w:tr>
        <w:trPr>
          <w:trHeight w:val="243"/>
        </w:trPr>
        <w:tc>
          <w:tcPr>
            <w:tcW w:w="5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Diluted net loss per common share</w:t>
            </w:r>
          </w:p>
        </w:tc>
        <w:tc>
          <w:tcPr>
            <w:tcW w:w="3160" w:type="dxa"/>
            <w:vAlign w:val="bottom"/>
            <w:gridSpan w:val="2"/>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(0.13)</w:t>
            </w:r>
          </w:p>
        </w:tc>
        <w:tc>
          <w:tcPr>
            <w:tcW w:w="9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2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(0.01)</w:t>
            </w:r>
          </w:p>
        </w:tc>
      </w:tr>
      <w:tr>
        <w:trPr>
          <w:trHeight w:val="243"/>
        </w:trPr>
        <w:tc>
          <w:tcPr>
            <w:tcW w:w="5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RevPAR</w:t>
            </w:r>
          </w:p>
        </w:tc>
        <w:tc>
          <w:tcPr>
            <w:tcW w:w="3160" w:type="dxa"/>
            <w:vAlign w:val="bottom"/>
            <w:gridSpan w:val="2"/>
            <w:shd w:val="clear" w:color="auto" w:fill="CCEEFF"/>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shd w:val="clear" w:color="auto" w:fill="CCEEFF"/>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128</w:t>
            </w:r>
          </w:p>
        </w:tc>
        <w:tc>
          <w:tcPr>
            <w:tcW w:w="980" w:type="dxa"/>
            <w:vAlign w:val="bottom"/>
            <w:shd w:val="clear" w:color="auto" w:fill="CCEEFF"/>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c>
          <w:tcPr>
            <w:tcW w:w="220" w:type="dxa"/>
            <w:vAlign w:val="bottom"/>
            <w:shd w:val="clear" w:color="auto" w:fill="CCEEFF"/>
          </w:tcPr>
          <w:p>
            <w:pPr>
              <w:spacing w:after="0"/>
              <w:rPr>
                <w:sz w:val="21"/>
                <w:szCs w:val="21"/>
                <w:color w:val="auto"/>
              </w:rPr>
            </w:pPr>
          </w:p>
        </w:tc>
      </w:tr>
      <w:tr>
        <w:trPr>
          <w:trHeight w:val="243"/>
        </w:trPr>
        <w:tc>
          <w:tcPr>
            <w:tcW w:w="5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GOP Margin</w:t>
            </w:r>
          </w:p>
        </w:tc>
        <w:tc>
          <w:tcPr>
            <w:tcW w:w="2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980" w:type="dxa"/>
            <w:vAlign w:val="bottom"/>
          </w:tcPr>
          <w:p>
            <w:pPr>
              <w:spacing w:after="0"/>
              <w:rPr>
                <w:sz w:val="21"/>
                <w:szCs w:val="21"/>
                <w:color w:val="auto"/>
              </w:rPr>
            </w:pPr>
          </w:p>
        </w:tc>
        <w:tc>
          <w:tcPr>
            <w:tcW w:w="7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5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Hotel EBITDA Margin</w:t>
            </w:r>
          </w:p>
        </w:tc>
        <w:tc>
          <w:tcPr>
            <w:tcW w:w="2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5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Adjusted EBITDA</w:t>
            </w:r>
          </w:p>
        </w:tc>
        <w:tc>
          <w:tcPr>
            <w:tcW w:w="3160" w:type="dxa"/>
            <w:vAlign w:val="bottom"/>
            <w:gridSpan w:val="2"/>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18.4</w:t>
            </w:r>
          </w:p>
        </w:tc>
        <w:tc>
          <w:tcPr>
            <w:tcW w:w="9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17.9</w:t>
            </w:r>
          </w:p>
        </w:tc>
        <w:tc>
          <w:tcPr>
            <w:tcW w:w="220" w:type="dxa"/>
            <w:vAlign w:val="bottom"/>
          </w:tcPr>
          <w:p>
            <w:pPr>
              <w:spacing w:after="0"/>
              <w:rPr>
                <w:sz w:val="21"/>
                <w:szCs w:val="21"/>
                <w:color w:val="auto"/>
              </w:rPr>
            </w:pPr>
          </w:p>
        </w:tc>
      </w:tr>
      <w:tr>
        <w:trPr>
          <w:trHeight w:val="243"/>
        </w:trPr>
        <w:tc>
          <w:tcPr>
            <w:tcW w:w="5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AFFO</w:t>
            </w:r>
          </w:p>
        </w:tc>
        <w:tc>
          <w:tcPr>
            <w:tcW w:w="3160" w:type="dxa"/>
            <w:vAlign w:val="bottom"/>
            <w:gridSpan w:val="2"/>
            <w:shd w:val="clear" w:color="auto" w:fill="CCEEFF"/>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shd w:val="clear" w:color="auto" w:fill="CCEEFF"/>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980" w:type="dxa"/>
            <w:vAlign w:val="bottom"/>
            <w:shd w:val="clear" w:color="auto" w:fill="CCEEFF"/>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220" w:type="dxa"/>
            <w:vAlign w:val="bottom"/>
            <w:shd w:val="clear" w:color="auto" w:fill="CCEEFF"/>
          </w:tcPr>
          <w:p>
            <w:pPr>
              <w:spacing w:after="0"/>
              <w:rPr>
                <w:sz w:val="21"/>
                <w:szCs w:val="21"/>
                <w:color w:val="auto"/>
              </w:rPr>
            </w:pPr>
          </w:p>
        </w:tc>
      </w:tr>
      <w:tr>
        <w:trPr>
          <w:trHeight w:val="243"/>
        </w:trPr>
        <w:tc>
          <w:tcPr>
            <w:tcW w:w="5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AFFO per diluted share</w:t>
            </w:r>
          </w:p>
        </w:tc>
        <w:tc>
          <w:tcPr>
            <w:tcW w:w="3160" w:type="dxa"/>
            <w:vAlign w:val="bottom"/>
            <w:gridSpan w:val="2"/>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0.20</w:t>
            </w:r>
          </w:p>
        </w:tc>
        <w:tc>
          <w:tcPr>
            <w:tcW w:w="9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0.17</w:t>
            </w:r>
          </w:p>
        </w:tc>
        <w:tc>
          <w:tcPr>
            <w:tcW w:w="220" w:type="dxa"/>
            <w:vAlign w:val="bottom"/>
          </w:tcPr>
          <w:p>
            <w:pPr>
              <w:spacing w:after="0"/>
              <w:rPr>
                <w:sz w:val="21"/>
                <w:szCs w:val="21"/>
                <w:color w:val="auto"/>
              </w:rPr>
            </w:pPr>
          </w:p>
        </w:tc>
      </w:tr>
      <w:tr>
        <w:trPr>
          <w:trHeight w:val="243"/>
        </w:trPr>
        <w:tc>
          <w:tcPr>
            <w:tcW w:w="5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Dividends declared per common share</w:t>
            </w:r>
          </w:p>
        </w:tc>
        <w:tc>
          <w:tcPr>
            <w:tcW w:w="3160" w:type="dxa"/>
            <w:vAlign w:val="bottom"/>
            <w:gridSpan w:val="2"/>
            <w:shd w:val="clear" w:color="auto" w:fill="CCEEFF"/>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shd w:val="clear" w:color="auto" w:fill="CCEEFF"/>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0.10</w:t>
            </w:r>
          </w:p>
        </w:tc>
        <w:tc>
          <w:tcPr>
            <w:tcW w:w="980" w:type="dxa"/>
            <w:vAlign w:val="bottom"/>
            <w:shd w:val="clear" w:color="auto" w:fill="CCEEFF"/>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5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0.09</w:t>
            </w:r>
          </w:p>
        </w:tc>
        <w:tc>
          <w:tcPr>
            <w:tcW w:w="220" w:type="dxa"/>
            <w:vAlign w:val="bottom"/>
            <w:shd w:val="clear" w:color="auto" w:fill="CCEEFF"/>
          </w:tcPr>
          <w:p>
            <w:pPr>
              <w:spacing w:after="0"/>
              <w:rPr>
                <w:sz w:val="21"/>
                <w:szCs w:val="21"/>
                <w:color w:val="auto"/>
              </w:rPr>
            </w:pPr>
          </w:p>
        </w:tc>
      </w:tr>
      <w:tr>
        <w:trPr>
          <w:trHeight w:val="601"/>
        </w:trPr>
        <w:tc>
          <w:tcPr>
            <w:tcW w:w="55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First Quarter 2026 Highlights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Highlights of the quarter include:</w:t>
      </w:r>
    </w:p>
    <w:p>
      <w:pPr>
        <w:spacing w:after="0" w:line="233" w:lineRule="exact"/>
        <w:rPr>
          <w:sz w:val="20"/>
          <w:szCs w:val="20"/>
          <w:color w:val="auto"/>
        </w:rPr>
      </w:pPr>
    </w:p>
    <w:p>
      <w:pPr>
        <w:ind w:left="1040" w:right="180" w:hanging="317"/>
        <w:spacing w:after="0" w:line="249" w:lineRule="auto"/>
        <w:tabs>
          <w:tab w:leader="none" w:pos="10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Grew RevPAR 1 percent, far outperforming a decline of 3 percent that factored into the company’s annual guidance as it faced tough year-over-year comparisons in January and February. Chatham’s outperformance was driven by strong results in Silicon Valley and the recently acquired six-hotel portfolio, beating underwriting expectations.</w:t>
      </w:r>
    </w:p>
    <w:p>
      <w:pPr>
        <w:spacing w:after="0" w:line="1" w:lineRule="exact"/>
        <w:rPr>
          <w:rFonts w:ascii="Times New Roman" w:cs="Times New Roman" w:eastAsia="Times New Roman" w:hAnsi="Times New Roman"/>
          <w:sz w:val="21"/>
          <w:szCs w:val="21"/>
          <w:color w:val="auto"/>
        </w:rPr>
      </w:pPr>
    </w:p>
    <w:p>
      <w:pPr>
        <w:ind w:left="1040" w:right="620" w:hanging="317"/>
        <w:spacing w:after="0" w:line="230" w:lineRule="auto"/>
        <w:tabs>
          <w:tab w:leader="none" w:pos="1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Expanded gross operating profit margins by approximately 60 basis points in the quarter to 40 percent through aggressive expense management, especially with regards to labor and productivity.</w:t>
      </w:r>
    </w:p>
    <w:p>
      <w:pPr>
        <w:spacing w:after="0" w:line="1" w:lineRule="exact"/>
        <w:rPr>
          <w:rFonts w:ascii="Times New Roman" w:cs="Times New Roman" w:eastAsia="Times New Roman" w:hAnsi="Times New Roman"/>
          <w:sz w:val="22"/>
          <w:szCs w:val="22"/>
          <w:color w:val="auto"/>
        </w:rPr>
      </w:pPr>
    </w:p>
    <w:p>
      <w:pPr>
        <w:ind w:left="1040" w:right="720" w:hanging="317"/>
        <w:spacing w:after="0" w:line="230" w:lineRule="auto"/>
        <w:tabs>
          <w:tab w:leader="none" w:pos="1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Acquired six, high-quality, Hilton-branded hotels comprising 589 rooms for $92 million that are immediately accretive to Chatham’s operating margins, FFO and FFO per share.</w:t>
      </w:r>
    </w:p>
    <w:p>
      <w:pPr>
        <w:spacing w:after="0" w:line="1" w:lineRule="exact"/>
        <w:rPr>
          <w:rFonts w:ascii="Times New Roman" w:cs="Times New Roman" w:eastAsia="Times New Roman" w:hAnsi="Times New Roman"/>
          <w:sz w:val="22"/>
          <w:szCs w:val="22"/>
          <w:color w:val="auto"/>
        </w:rPr>
      </w:pPr>
    </w:p>
    <w:p>
      <w:pPr>
        <w:ind w:left="1040" w:hanging="317"/>
        <w:spacing w:after="0" w:line="230" w:lineRule="auto"/>
        <w:tabs>
          <w:tab w:leader="none" w:pos="1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0.9 million shares in the quarter at an average price of $7.35. Through the end of the first quarter, the company has repurchased 2.2 million shares at an average price of $7.04, which equates to a 10 percent capitalization rate based on its 2026 corporate net operating income guidance.</w:t>
      </w:r>
    </w:p>
    <w:p>
      <w:pPr>
        <w:spacing w:after="0" w:line="1" w:lineRule="exact"/>
        <w:rPr>
          <w:rFonts w:ascii="Times New Roman" w:cs="Times New Roman" w:eastAsia="Times New Roman" w:hAnsi="Times New Roman"/>
          <w:sz w:val="22"/>
          <w:szCs w:val="22"/>
          <w:color w:val="auto"/>
        </w:rPr>
      </w:pPr>
    </w:p>
    <w:p>
      <w:pPr>
        <w:ind w:left="1040" w:right="240" w:hanging="317"/>
        <w:spacing w:after="0" w:line="237" w:lineRule="auto"/>
        <w:tabs>
          <w:tab w:leader="none" w:pos="10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Raised its common share dividend 11 percent to $0.10 per share, marking the second consecutive year of a double-digit increase to its common dividend.</w:t>
      </w:r>
    </w:p>
    <w:p>
      <w:pPr>
        <w:spacing w:after="0" w:line="20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Jeffrey H. Fisher, Chatham’s president and chief executive officer, stated, “As this proves, we are executing across multiple levels to enhance shareholder returns and our updated hotel EBITDA and AFFO per share guidance has been increased a strong 11 percent and 15 percent, respectively. Our total shareholder returns are best among lodging REITs in 2026, but we believe we are still undervalued and as such, will continue to aggressively repurchase shares using free cash flow and proceeds from any asset dispositions. We are excited about our future trajectory.”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Acquisition</w:t>
      </w:r>
    </w:p>
    <w:p>
      <w:pPr>
        <w:spacing w:after="0" w:line="23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In March, Chatham acquired six Hilton-branded hotels comprising 589 rooms for $92 million, with two hotels located in Joplin, Mo., two hotels in Effingham, Ill., and two hotels in Paducah, Ky. Of the six hotels, there are two Homewood Suites, two Hampton Inn and Suites and two Home2 Suites by Hilton hotels. Chatham funded the acquisition with available cash and borrowings on its revolving credit facility.</w:t>
      </w:r>
    </w:p>
    <w:p>
      <w:pPr>
        <w:spacing w:after="0" w:line="207"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hotels are generally the highest quality properties in their respective markets with an average age of only 10 years, and 66 percent of the portfolio’s rooms are extended-stay, in-line with Chatham’s portfolio prior to the acquisition. The hotels benefit from very favorable labor dynamics and will enhance Chatham’s already industry-leading Hotel EBITDA margins.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portfolio produced RevPAR growth of 6 percent in the first quarter and growth of 7 percent in April.</w:t>
      </w:r>
    </w:p>
    <w:p>
      <w:pPr>
        <w:spacing w:after="0" w:line="23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Fisher concluded, “This is our first acquisition exceeding $50 million in approximately 5 years and completes an amazingly successful recycling initiative in which we sold six hotels with an average age of 25 years, RevPAR of $101 and hotel EBITDA margins of 27 percent and turned that into a portfolio with an average age of 10 years, RevPAR of $116 and hotel EBITDA margins of 42 percent. The portfolio diversifies our geographic footprint into areas of the country that are benefitting from expanded investments in manufacturing and distribution.”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 Buy-Back Plan</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During the three months ending March 31, 2026, the company repurchased 0.9 million common shares at a weighted-average price per share of $7.35 for an aggregate purchase price, including commissions, of approximately $6.6 million. Through quarter-end, since inception, the company repurchased 2.2 million shares at a weighted-average price per share of $7.04 for an aggregate purchase price, including commissions, of approximately $15.6 million under its $25 million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Hotel RevPAR Performance</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chart below summarizes key hotel financial statistics for the 39 comparable hotels owned as of March 31, 2026, compared to the first quarter of 2025:</w:t>
      </w:r>
    </w:p>
    <w:p>
      <w:pPr>
        <w:spacing w:after="0" w:line="200" w:lineRule="exact"/>
        <w:rPr>
          <w:sz w:val="20"/>
          <w:szCs w:val="20"/>
          <w:color w:val="auto"/>
        </w:rPr>
      </w:pPr>
    </w:p>
    <w:p>
      <w:pPr>
        <w:spacing w:after="0" w:line="224"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5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Q1 2026 RevPAR</w:t>
            </w:r>
          </w:p>
        </w:tc>
        <w:tc>
          <w:tcPr>
            <w:tcW w:w="140" w:type="dxa"/>
            <w:vAlign w:val="bottom"/>
          </w:tcPr>
          <w:p>
            <w:pPr>
              <w:spacing w:after="0"/>
              <w:rPr>
                <w:sz w:val="23"/>
                <w:szCs w:val="23"/>
                <w:color w:val="auto"/>
              </w:rPr>
            </w:pPr>
          </w:p>
        </w:tc>
        <w:tc>
          <w:tcPr>
            <w:tcW w:w="196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6"/>
              </w:rPr>
              <w:t>Q1 2025 RevPAR</w:t>
            </w:r>
          </w:p>
        </w:tc>
      </w:tr>
      <w:tr>
        <w:trPr>
          <w:trHeight w:val="237"/>
        </w:trPr>
        <w:tc>
          <w:tcPr>
            <w:tcW w:w="5260" w:type="dxa"/>
            <w:vAlign w:val="bottom"/>
            <w:tcBorders>
              <w:top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22"/>
                <w:szCs w:val="22"/>
                <w:color w:val="auto"/>
              </w:rPr>
              <w:t>Occupancy</w:t>
            </w:r>
          </w:p>
        </w:tc>
        <w:tc>
          <w:tcPr>
            <w:tcW w:w="140" w:type="dxa"/>
            <w:vAlign w:val="bottom"/>
            <w:tcBorders>
              <w:top w:val="single" w:sz="8" w:color="auto"/>
            </w:tcBorders>
            <w:shd w:val="clear" w:color="auto" w:fill="CCEEFF"/>
          </w:tcPr>
          <w:p>
            <w:pPr>
              <w:spacing w:after="0"/>
              <w:rPr>
                <w:sz w:val="20"/>
                <w:szCs w:val="20"/>
                <w:color w:val="auto"/>
              </w:rPr>
            </w:pPr>
          </w:p>
        </w:tc>
        <w:tc>
          <w:tcPr>
            <w:tcW w:w="19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73%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96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5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9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177</w:t>
            </w:r>
          </w:p>
        </w:tc>
        <w:tc>
          <w:tcPr>
            <w:tcW w:w="1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96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175</w:t>
            </w:r>
          </w:p>
        </w:tc>
      </w:tr>
      <w:tr>
        <w:trPr>
          <w:trHeight w:val="243"/>
        </w:trPr>
        <w:tc>
          <w:tcPr>
            <w:tcW w:w="52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RevPAR</w:t>
            </w: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940" w:type="dxa"/>
            <w:vAlign w:val="bottom"/>
            <w:shd w:val="clear" w:color="auto" w:fill="CCEE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960" w:type="dxa"/>
            <w:vAlign w:val="bottom"/>
            <w:shd w:val="clear" w:color="auto" w:fill="CCEE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127</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chart below summarizes RevPAR statistics by month for the company's 39 comparable hotels:</w:t>
      </w:r>
    </w:p>
    <w:p>
      <w:pPr>
        <w:spacing w:after="0" w:line="200" w:lineRule="exact"/>
        <w:rPr>
          <w:sz w:val="20"/>
          <w:szCs w:val="20"/>
          <w:color w:val="auto"/>
        </w:rPr>
      </w:pPr>
    </w:p>
    <w:p>
      <w:pPr>
        <w:spacing w:after="0" w:line="272"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3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January</w:t>
            </w:r>
          </w:p>
        </w:tc>
        <w:tc>
          <w:tcPr>
            <w:tcW w:w="140" w:type="dxa"/>
            <w:vAlign w:val="bottom"/>
          </w:tcPr>
          <w:p>
            <w:pPr>
              <w:spacing w:after="0"/>
              <w:rPr>
                <w:sz w:val="23"/>
                <w:szCs w:val="2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February</w:t>
            </w:r>
          </w:p>
        </w:tc>
        <w:tc>
          <w:tcPr>
            <w:tcW w:w="200" w:type="dxa"/>
            <w:vAlign w:val="bottom"/>
          </w:tcPr>
          <w:p>
            <w:pPr>
              <w:spacing w:after="0"/>
              <w:rPr>
                <w:sz w:val="23"/>
                <w:szCs w:val="2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March</w:t>
            </w:r>
          </w:p>
        </w:tc>
        <w:tc>
          <w:tcPr>
            <w:tcW w:w="240" w:type="dxa"/>
            <w:vAlign w:val="bottom"/>
          </w:tcPr>
          <w:p>
            <w:pPr>
              <w:spacing w:after="0"/>
              <w:rPr>
                <w:sz w:val="23"/>
                <w:szCs w:val="23"/>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April</w:t>
            </w:r>
          </w:p>
        </w:tc>
      </w:tr>
      <w:tr>
        <w:trPr>
          <w:trHeight w:val="236"/>
        </w:trPr>
        <w:tc>
          <w:tcPr>
            <w:tcW w:w="3660" w:type="dxa"/>
            <w:vAlign w:val="bottom"/>
            <w:tcBorders>
              <w:top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22"/>
                <w:szCs w:val="22"/>
                <w:color w:val="auto"/>
              </w:rPr>
              <w:t>Occupancy</w:t>
            </w:r>
          </w:p>
        </w:tc>
        <w:tc>
          <w:tcPr>
            <w:tcW w:w="1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74%</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3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161</w:t>
            </w:r>
          </w:p>
        </w:tc>
        <w:tc>
          <w:tcPr>
            <w:tcW w:w="1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179</w:t>
            </w:r>
          </w:p>
        </w:tc>
        <w:tc>
          <w:tcPr>
            <w:tcW w:w="10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187</w:t>
            </w:r>
          </w:p>
        </w:tc>
        <w:tc>
          <w:tcPr>
            <w:tcW w:w="10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185</w:t>
            </w:r>
          </w:p>
        </w:tc>
      </w:tr>
      <w:tr>
        <w:trPr>
          <w:trHeight w:val="243"/>
        </w:trPr>
        <w:tc>
          <w:tcPr>
            <w:tcW w:w="36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RevPAR</w:t>
            </w:r>
          </w:p>
        </w:tc>
        <w:tc>
          <w:tcPr>
            <w:tcW w:w="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3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RevPAR – prior year</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108</w:t>
            </w:r>
          </w:p>
        </w:tc>
        <w:tc>
          <w:tcPr>
            <w:tcW w:w="100" w:type="dxa"/>
            <w:vAlign w:val="bottom"/>
          </w:tcPr>
          <w:p>
            <w:pPr>
              <w:spacing w:after="0"/>
              <w:rPr>
                <w:sz w:val="21"/>
                <w:szCs w:val="21"/>
                <w:color w:val="auto"/>
              </w:rPr>
            </w:pPr>
          </w:p>
        </w:tc>
        <w:tc>
          <w:tcPr>
            <w:tcW w:w="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131</w:t>
            </w:r>
          </w:p>
        </w:tc>
        <w:tc>
          <w:tcPr>
            <w:tcW w:w="10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142</w:t>
            </w:r>
          </w:p>
        </w:tc>
        <w:tc>
          <w:tcPr>
            <w:tcW w:w="100" w:type="dxa"/>
            <w:vAlign w:val="bottom"/>
          </w:tcPr>
          <w:p>
            <w:pPr>
              <w:spacing w:after="0"/>
              <w:rPr>
                <w:sz w:val="21"/>
                <w:szCs w:val="21"/>
                <w:color w:val="auto"/>
              </w:rPr>
            </w:pPr>
          </w:p>
        </w:tc>
        <w:tc>
          <w:tcPr>
            <w:tcW w:w="2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144</w:t>
            </w:r>
          </w:p>
        </w:tc>
      </w:tr>
      <w:tr>
        <w:trPr>
          <w:trHeight w:val="243"/>
        </w:trPr>
        <w:tc>
          <w:tcPr>
            <w:tcW w:w="36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 Change in RevPAR vs. prior year</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bl>
    <w:p>
      <w:pPr>
        <w:spacing w:after="0" w:line="200" w:lineRule="exact"/>
        <w:rPr>
          <w:sz w:val="20"/>
          <w:szCs w:val="20"/>
          <w:color w:val="auto"/>
        </w:rPr>
      </w:pPr>
    </w:p>
    <w:p>
      <w:pPr>
        <w:spacing w:after="0" w:line="25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Dennis Craven, Chatham's chief operating officer, commented, “We faced difficult comps in January and February after RevPAR growth of approximately 6 percent last year, so seeing that turn around in February and surge in March was very encouraging. Silicon Valley, our largest market was one of our hottest markets during the quarter, led the way with RevPAR growth of almost 23 percent after removing any renovation impacts and RevPAR of $153 is the highest quarterly RevPAR since the pandemic. Also, our recently acquired hotels produced RevPAR growth of almost 6 percent in the quarter bolstered by accelerating demand growth.”</w:t>
      </w:r>
    </w:p>
    <w:p>
      <w:pPr>
        <w:spacing w:after="0" w:line="2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RevPAR performance for Chatham’s largest markets (markets that account for at least five percent of hotel EBITDA contribution over the last twelve months) is presented below:</w:t>
      </w:r>
    </w:p>
    <w:p>
      <w:pPr>
        <w:spacing w:after="0" w:line="171"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2640" w:type="dxa"/>
            <w:vAlign w:val="bottom"/>
          </w:tcPr>
          <w:p>
            <w:pPr>
              <w:spacing w:after="0"/>
              <w:rPr>
                <w:sz w:val="21"/>
                <w:szCs w:val="21"/>
                <w:color w:val="auto"/>
              </w:rPr>
            </w:pPr>
          </w:p>
        </w:tc>
        <w:tc>
          <w:tcPr>
            <w:tcW w:w="1600" w:type="dxa"/>
            <w:vAlign w:val="bottom"/>
            <w:gridSpan w:val="3"/>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6"/>
              </w:rPr>
              <w:t>% of LTM</w:t>
            </w: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w w:val="98"/>
              </w:rPr>
              <w:t>Change vs. Q1</w:t>
            </w:r>
          </w:p>
        </w:tc>
      </w:tr>
      <w:tr>
        <w:trPr>
          <w:trHeight w:val="274"/>
        </w:trPr>
        <w:tc>
          <w:tcPr>
            <w:tcW w:w="2640" w:type="dxa"/>
            <w:vAlign w:val="bottom"/>
          </w:tcPr>
          <w:p>
            <w:pPr>
              <w:spacing w:after="0"/>
              <w:rPr>
                <w:sz w:val="23"/>
                <w:szCs w:val="23"/>
                <w:color w:val="auto"/>
              </w:rPr>
            </w:pPr>
          </w:p>
        </w:tc>
        <w:tc>
          <w:tcPr>
            <w:tcW w:w="10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EBITDA</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Q1 2026 RevPAR</w:t>
            </w: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Q1 2025 RevPAR</w:t>
            </w: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6"/>
        </w:trPr>
        <w:tc>
          <w:tcPr>
            <w:tcW w:w="2640" w:type="dxa"/>
            <w:vAlign w:val="bottom"/>
            <w:tcBorders>
              <w:top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22"/>
                <w:szCs w:val="22"/>
                <w:color w:val="auto"/>
              </w:rPr>
              <w:t>39 - Hotel Portfolio</w:t>
            </w:r>
          </w:p>
        </w:tc>
        <w:tc>
          <w:tcPr>
            <w:tcW w:w="10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128</w:t>
            </w: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ind w:right="5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127</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37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Silicon Valley</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17%</w:t>
            </w:r>
          </w:p>
        </w:tc>
        <w:tc>
          <w:tcPr>
            <w:tcW w:w="100" w:type="dxa"/>
            <w:vAlign w:val="bottom"/>
          </w:tcPr>
          <w:p>
            <w:pPr>
              <w:spacing w:after="0"/>
              <w:rPr>
                <w:sz w:val="21"/>
                <w:szCs w:val="21"/>
                <w:color w:val="auto"/>
              </w:rPr>
            </w:pPr>
          </w:p>
        </w:tc>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153</w:t>
            </w:r>
          </w:p>
        </w:tc>
        <w:tc>
          <w:tcPr>
            <w:tcW w:w="100" w:type="dxa"/>
            <w:vAlign w:val="bottom"/>
          </w:tcPr>
          <w:p>
            <w:pPr>
              <w:spacing w:after="0"/>
              <w:rPr>
                <w:sz w:val="21"/>
                <w:szCs w:val="21"/>
                <w:color w:val="auto"/>
              </w:rPr>
            </w:pPr>
          </w:p>
        </w:tc>
        <w:tc>
          <w:tcPr>
            <w:tcW w:w="74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c>
          <w:tcPr>
            <w:tcW w:w="100" w:type="dxa"/>
            <w:vAlign w:val="bottom"/>
          </w:tcPr>
          <w:p>
            <w:pPr>
              <w:spacing w:after="0"/>
              <w:rPr>
                <w:sz w:val="21"/>
                <w:szCs w:val="21"/>
                <w:color w:val="auto"/>
              </w:rPr>
            </w:pP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37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Los Angeles</w:t>
            </w:r>
          </w:p>
        </w:tc>
        <w:tc>
          <w:tcPr>
            <w:tcW w:w="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37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Coastal Northeast</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1"/>
                <w:szCs w:val="21"/>
                <w:color w:val="auto"/>
              </w:rPr>
            </w:pPr>
          </w:p>
        </w:tc>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100" w:type="dxa"/>
            <w:vAlign w:val="bottom"/>
          </w:tcPr>
          <w:p>
            <w:pPr>
              <w:spacing w:after="0"/>
              <w:rPr>
                <w:sz w:val="21"/>
                <w:szCs w:val="21"/>
                <w:color w:val="auto"/>
              </w:rPr>
            </w:pPr>
          </w:p>
        </w:tc>
        <w:tc>
          <w:tcPr>
            <w:tcW w:w="74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100" w:type="dxa"/>
            <w:vAlign w:val="bottom"/>
          </w:tcPr>
          <w:p>
            <w:pPr>
              <w:spacing w:after="0"/>
              <w:rPr>
                <w:sz w:val="21"/>
                <w:szCs w:val="21"/>
                <w:color w:val="auto"/>
              </w:rPr>
            </w:pP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37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Washington, D.C.</w:t>
            </w:r>
          </w:p>
        </w:tc>
        <w:tc>
          <w:tcPr>
            <w:tcW w:w="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37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Greater New York</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00" w:type="dxa"/>
            <w:vAlign w:val="bottom"/>
          </w:tcPr>
          <w:p>
            <w:pPr>
              <w:spacing w:after="0"/>
              <w:rPr>
                <w:sz w:val="21"/>
                <w:szCs w:val="21"/>
                <w:color w:val="auto"/>
              </w:rPr>
            </w:pPr>
          </w:p>
        </w:tc>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138</w:t>
            </w:r>
          </w:p>
        </w:tc>
        <w:tc>
          <w:tcPr>
            <w:tcW w:w="100" w:type="dxa"/>
            <w:vAlign w:val="bottom"/>
          </w:tcPr>
          <w:p>
            <w:pPr>
              <w:spacing w:after="0"/>
              <w:rPr>
                <w:sz w:val="21"/>
                <w:szCs w:val="21"/>
                <w:color w:val="auto"/>
              </w:rPr>
            </w:pPr>
          </w:p>
        </w:tc>
        <w:tc>
          <w:tcPr>
            <w:tcW w:w="74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139</w:t>
            </w:r>
          </w:p>
        </w:tc>
        <w:tc>
          <w:tcPr>
            <w:tcW w:w="100" w:type="dxa"/>
            <w:vAlign w:val="bottom"/>
          </w:tcPr>
          <w:p>
            <w:pPr>
              <w:spacing w:after="0"/>
              <w:rPr>
                <w:sz w:val="21"/>
                <w:szCs w:val="21"/>
                <w:color w:val="auto"/>
              </w:rPr>
            </w:pP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37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82"/>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Seattle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100" w:type="dxa"/>
            <w:vAlign w:val="bottom"/>
          </w:tcPr>
          <w:p>
            <w:pPr>
              <w:spacing w:after="0"/>
              <w:rPr>
                <w:sz w:val="24"/>
                <w:szCs w:val="24"/>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pacing w:after="0" w:line="200" w:lineRule="exact"/>
        <w:rPr>
          <w:sz w:val="20"/>
          <w:szCs w:val="20"/>
          <w:color w:val="auto"/>
        </w:rPr>
      </w:pPr>
    </w:p>
    <w:p>
      <w:pPr>
        <w:spacing w:after="0" w:line="219"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The Residence Inn Mountain View, Ca., was under renovation this year, and the Residence Inn Seattle Bellevue Downtown (Chatham’s only hotel in Seattle market) and the Hilton Garden Inn Portsmouth, N.H., were under renovation during the 2025 first quarter.</w:t>
      </w:r>
    </w:p>
    <w:p>
      <w:pPr>
        <w:spacing w:after="0" w:line="20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Craven remarked, “Our two big Sunnyvale hotels had a fantastic quarter with RevPAR up 26 percent. While the Sunnyvale hotels benefited from the Super Bowl in February, performance was great throughout the quarter due to increasing corporate demand. Demand was up 9 percent in the San Jose / Santa Cruz market in March. The strong trends continue in April with RevPAR up 12 percent at our three hotels not under renovation.”</w:t>
      </w:r>
    </w:p>
    <w:p>
      <w:pPr>
        <w:spacing w:after="0" w:line="2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“In southern California, RevPAR declined 14 percent in the quarter at our three Los Angeles hotels, essentially giving back the 14 percent RevPAR gain last year as we were beneficiaries of wildfire-related business. San Diego RevPAR rebounded in the first quarter, up 5 percent to $183 on a 6 percent increase in ADR.</w:t>
      </w:r>
    </w:p>
    <w:p>
      <w:pPr>
        <w:spacing w:after="0" w:line="200"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Craven remarked further, “Despite having tough inauguration comps in our DC hotels, RevPAR grew 3 percent in the quarter as our Embassy Suites Springfield and Residence Inn Tysons Corner, Va., hotels experienced growing demand, some of which was due to easier comps related to the potential government shutdown last year. Lastly, RevPAR in our leisure markets was up 2 percent, and within our leisure hotels, RevPAR at our Hyatt Place Pittsburgh was up 23 percent and Florida RevPAR was up 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314"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Hotel Operations Performance</w:t>
      </w:r>
    </w:p>
    <w:p>
      <w:pPr>
        <w:spacing w:after="0" w:line="23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The chart below summarizes key hotel operating performance measures for the three months ended March 31, 2026, and 2025. RevPAR is based on the 39 comparable hotels, and all other data is based on all properties owned during that period. Gross operating profit is calculated as Hotel EBITDA plus property taxes, ground rent and insurance (in millions, except for RevPAR and margin percentages):</w:t>
      </w:r>
    </w:p>
    <w:p>
      <w:pPr>
        <w:spacing w:after="0" w:line="200" w:lineRule="exact"/>
        <w:rPr>
          <w:sz w:val="20"/>
          <w:szCs w:val="20"/>
          <w:color w:val="auto"/>
        </w:rPr>
      </w:pP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60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Q1 2026</w:t>
            </w: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Q1 2025</w:t>
            </w:r>
          </w:p>
        </w:tc>
      </w:tr>
      <w:tr>
        <w:trPr>
          <w:trHeight w:val="237"/>
        </w:trPr>
        <w:tc>
          <w:tcPr>
            <w:tcW w:w="60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22"/>
                <w:szCs w:val="22"/>
                <w:color w:val="auto"/>
              </w:rPr>
              <w:t>RevPAR</w:t>
            </w:r>
          </w:p>
        </w:tc>
        <w:tc>
          <w:tcPr>
            <w:tcW w:w="1180" w:type="dxa"/>
            <w:vAlign w:val="bottom"/>
            <w:shd w:val="clear" w:color="auto" w:fill="CCEEFF"/>
          </w:tcPr>
          <w:p>
            <w:pPr>
              <w:jc w:val="right"/>
              <w:ind w:right="9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540" w:type="dxa"/>
            <w:vAlign w:val="bottom"/>
            <w:shd w:val="clear" w:color="auto" w:fill="CCEEFF"/>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rPr>
              <w:t>128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460" w:type="dxa"/>
            <w:vAlign w:val="bottom"/>
            <w:shd w:val="clear" w:color="auto" w:fill="CCEEFF"/>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rPr>
              <w:t>127</w:t>
            </w:r>
          </w:p>
        </w:tc>
      </w:tr>
      <w:tr>
        <w:trPr>
          <w:trHeight w:val="243"/>
        </w:trPr>
        <w:tc>
          <w:tcPr>
            <w:tcW w:w="60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Gross operating profit</w:t>
            </w:r>
          </w:p>
        </w:tc>
        <w:tc>
          <w:tcPr>
            <w:tcW w:w="1180" w:type="dxa"/>
            <w:vAlign w:val="bottom"/>
          </w:tcPr>
          <w:p>
            <w:pPr>
              <w:jc w:val="right"/>
              <w:ind w:right="9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5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1"/>
                <w:szCs w:val="21"/>
                <w:color w:val="auto"/>
              </w:rPr>
            </w:pPr>
          </w:p>
        </w:tc>
        <w:tc>
          <w:tcPr>
            <w:tcW w:w="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6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60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Hotel EBITDA</w:t>
            </w:r>
          </w:p>
        </w:tc>
        <w:tc>
          <w:tcPr>
            <w:tcW w:w="1180" w:type="dxa"/>
            <w:vAlign w:val="bottom"/>
            <w:shd w:val="clear" w:color="auto" w:fill="CCEEFF"/>
          </w:tcPr>
          <w:p>
            <w:pPr>
              <w:jc w:val="right"/>
              <w:ind w:right="9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54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6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60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GOP margin</w:t>
            </w:r>
          </w:p>
        </w:tc>
        <w:tc>
          <w:tcPr>
            <w:tcW w:w="118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60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Hotel EBITDA margin</w:t>
            </w:r>
          </w:p>
        </w:tc>
        <w:tc>
          <w:tcPr>
            <w:tcW w:w="1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bl>
    <w:p>
      <w:pPr>
        <w:spacing w:after="0" w:line="200" w:lineRule="exact"/>
        <w:rPr>
          <w:sz w:val="20"/>
          <w:szCs w:val="20"/>
          <w:color w:val="auto"/>
        </w:rPr>
      </w:pPr>
    </w:p>
    <w:p>
      <w:pPr>
        <w:spacing w:after="0" w:line="259"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Craven concluded, “Continuing a profitable 2025 trend, we were able to maximize productivity of our work force and reduce our labor and benefits on a per occupied room basis by approximately 1 percent (excluding the 6 hotels acquired in March). This alone increased our GOP margins by approximately 60 basis points in the quarter. Hotel EBITDA margins rose 135 basis points in the quarter and benefitted from a decline in property taxes of $0.2 million and property insurance of $0.1 million on our comparable hotels which aided margins by another 50 basis points.”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Update</w:t>
      </w:r>
    </w:p>
    <w:p>
      <w:pPr>
        <w:spacing w:after="0" w:line="237"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The chart below summarizes key financial performance measures for the three months ended March 31, 2026 and 2025. Corporate EBITDA is calculated as hotel EBITDA minus cash corporate general and administrative expenses and is before debt service and capital expenditures. Debt service includes interest expense and principal amortization on its secured debt, as well as dividends on its preferred shares of $2.0 million per quarter. Cash flow before CapEx is calculated as corporate EBITDA less debt service. Amounts are in millions, except RevPAR.</w:t>
      </w:r>
    </w:p>
    <w:p>
      <w:pPr>
        <w:spacing w:after="0" w:line="200" w:lineRule="exact"/>
        <w:rPr>
          <w:sz w:val="20"/>
          <w:szCs w:val="20"/>
          <w:color w:val="auto"/>
        </w:rPr>
      </w:pPr>
    </w:p>
    <w:p>
      <w:pPr>
        <w:spacing w:after="0" w:line="243" w:lineRule="exact"/>
        <w:rPr>
          <w:sz w:val="20"/>
          <w:szCs w:val="20"/>
          <w:color w:val="auto"/>
        </w:rPr>
      </w:pPr>
    </w:p>
    <w:tbl>
      <w:tblPr>
        <w:tblLayout w:type="fixed"/>
        <w:tblInd w:w="840" w:type="dxa"/>
        <w:tblCellMar>
          <w:top w:w="0" w:type="dxa"/>
          <w:left w:w="0" w:type="dxa"/>
          <w:bottom w:w="0" w:type="dxa"/>
          <w:right w:w="0" w:type="dxa"/>
        </w:tblCellMar>
      </w:tblPr>
      <w:tr>
        <w:trPr>
          <w:trHeight w:val="274"/>
        </w:trPr>
        <w:tc>
          <w:tcPr>
            <w:tcW w:w="6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Q1 2026</w:t>
            </w:r>
          </w:p>
        </w:tc>
        <w:tc>
          <w:tcPr>
            <w:tcW w:w="240" w:type="dxa"/>
            <w:vAlign w:val="bottom"/>
          </w:tcPr>
          <w:p>
            <w:pPr>
              <w:spacing w:after="0"/>
              <w:rPr>
                <w:sz w:val="23"/>
                <w:szCs w:val="23"/>
                <w:color w:val="auto"/>
              </w:rPr>
            </w:pP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Q1 2025</w:t>
            </w:r>
          </w:p>
        </w:tc>
      </w:tr>
      <w:tr>
        <w:trPr>
          <w:trHeight w:val="236"/>
        </w:trPr>
        <w:tc>
          <w:tcPr>
            <w:tcW w:w="6180" w:type="dxa"/>
            <w:vAlign w:val="bottom"/>
            <w:tcBorders>
              <w:top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22"/>
                <w:szCs w:val="22"/>
                <w:color w:val="auto"/>
              </w:rPr>
              <w:t>RevPAR</w:t>
            </w:r>
          </w:p>
        </w:tc>
        <w:tc>
          <w:tcPr>
            <w:tcW w:w="260" w:type="dxa"/>
            <w:vAlign w:val="bottom"/>
            <w:tcBorders>
              <w:top w:val="single" w:sz="8" w:color="auto"/>
            </w:tcBorders>
            <w:shd w:val="clear" w:color="auto" w:fill="CCEE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127</w:t>
            </w:r>
          </w:p>
        </w:tc>
      </w:tr>
      <w:tr>
        <w:trPr>
          <w:trHeight w:val="243"/>
        </w:trPr>
        <w:tc>
          <w:tcPr>
            <w:tcW w:w="61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Hotel EBITDA</w:t>
            </w: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100" w:type="dxa"/>
            <w:vAlign w:val="bottom"/>
          </w:tcPr>
          <w:p>
            <w:pPr>
              <w:spacing w:after="0"/>
              <w:rPr>
                <w:sz w:val="21"/>
                <w:szCs w:val="21"/>
                <w:color w:val="auto"/>
              </w:rPr>
            </w:pPr>
          </w:p>
        </w:tc>
        <w:tc>
          <w:tcPr>
            <w:tcW w:w="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61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Corporate EBITDA</w:t>
            </w:r>
          </w:p>
        </w:tc>
        <w:tc>
          <w:tcPr>
            <w:tcW w:w="260" w:type="dxa"/>
            <w:vAlign w:val="bottom"/>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61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Debt Service &amp; Preferred</w:t>
            </w: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1"/>
                <w:szCs w:val="21"/>
                <w:color w:val="auto"/>
              </w:rPr>
            </w:pPr>
          </w:p>
        </w:tc>
        <w:tc>
          <w:tcPr>
            <w:tcW w:w="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61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22"/>
                <w:szCs w:val="22"/>
                <w:color w:val="auto"/>
              </w:rPr>
              <w:t>Cash flow before CapEx</w:t>
            </w:r>
          </w:p>
        </w:tc>
        <w:tc>
          <w:tcPr>
            <w:tcW w:w="260" w:type="dxa"/>
            <w:vAlign w:val="bottom"/>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Hotel Investments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first quarter of 2026, the company incurred capital expenditures of approximately $6 million.</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company completed the full renovation of the Residence Inn Austin, Texas, and completed the rooms portion of the full renovation at the Residence Inn Mountain View, Calif., during the first quarter. The extensive interior renovation of the Mountain View gatehouse will be completed during the second quarter. The company has plans for an extensive redesign of the exterior public space that will provide enhanced guest experience. This work will begin later this year.</w:t>
      </w:r>
    </w:p>
    <w:p>
      <w:pPr>
        <w:spacing w:after="0" w:line="20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Chatham’s 2026 capital expenditure budget is approximately $27 million, which includes renovations at three hotels expected to cost approximately $17 million. The three hotels scheduled for renovation in 2026 are the Residence Inn San Diego Gaslamp, Homewood Suites Farmington, Conn., and Hyatt Place Pittsburgh, Pa. Each of these renovations will commence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Capital Markets &amp; Capital Structure</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As of March 31, 2026, the company had net debt of $415 million (total consolidated debt less unrestricted cash). Total debt outstanding as of March 31, 2026, was $428 million at an average interest rate of 5.8 percent, comprised of $143 million of fixed-rate mortgage debt at an average interest rate of 7.2 percent, $200 million outstanding on its term loan at a rate of 5.1 percent and $85 million outstanding on the company's $300 million revolving credit facility at an interest rate of 5.2 percent.</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Based on the ratio of the company’s net debt to hotel investments at cost, Chatham’s leverage ratio was approximately 25 percent at March 31,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quarter, the board of trustees raised its quarterly common dividend by 11 percent, or $0.01 per common share, to</w:t>
      </w:r>
    </w:p>
    <w:p>
      <w:pPr>
        <w:spacing w:after="0" w:line="1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$0.10 per share. The increased common dividend, as well as the preferred share dividend of $0.41406 per share, were payable on April 15, 2026, to shareholders of record as of March 31,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Guidance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guidance reflects the following assumptions:</w:t>
      </w:r>
    </w:p>
    <w:p>
      <w:pPr>
        <w:spacing w:after="0" w:line="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Renovations at the hotels mentioned in this release</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Floating rate debt based on SOFR forward curve.</w:t>
      </w: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additional acquisitions, dispositions, debt or equity issuance.</w:t>
      </w:r>
    </w:p>
    <w:p>
      <w:pPr>
        <w:ind w:left="660" w:right="380" w:hanging="328"/>
        <w:spacing w:after="0" w:line="23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January 1, 2026, the company excludes non-cash share-based compensation from its calculation of Adjusted FFO to make its presentation of this measure consistent with the majority of other public lodging REITs.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98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bottom w:val="single" w:sz="8" w:color="CCEEFF"/>
            </w:tcBorders>
          </w:tcPr>
          <w:p>
            <w:pPr>
              <w:spacing w:after="0"/>
              <w:rPr>
                <w:sz w:val="23"/>
                <w:szCs w:val="23"/>
                <w:color w:val="auto"/>
              </w:rPr>
            </w:pPr>
          </w:p>
        </w:tc>
      </w:tr>
      <w:tr>
        <w:trPr>
          <w:trHeight w:val="237"/>
        </w:trPr>
        <w:tc>
          <w:tcPr>
            <w:tcW w:w="698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RevPAR</w:t>
            </w:r>
          </w:p>
        </w:tc>
        <w:tc>
          <w:tcPr>
            <w:tcW w:w="8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$140</w:t>
            </w:r>
          </w:p>
        </w:tc>
        <w:tc>
          <w:tcPr>
            <w:tcW w:w="1020" w:type="dxa"/>
            <w:vAlign w:val="bottom"/>
            <w:shd w:val="clear" w:color="auto" w:fill="CCEEFF"/>
          </w:tcPr>
          <w:p>
            <w:pPr>
              <w:ind w:left="40"/>
              <w:spacing w:after="0" w:line="237" w:lineRule="exact"/>
              <w:rPr>
                <w:sz w:val="20"/>
                <w:szCs w:val="20"/>
                <w:color w:val="auto"/>
              </w:rPr>
            </w:pPr>
            <w:r>
              <w:rPr>
                <w:rFonts w:ascii="Times New Roman" w:cs="Times New Roman" w:eastAsia="Times New Roman" w:hAnsi="Times New Roman"/>
                <w:sz w:val="22"/>
                <w:szCs w:val="22"/>
                <w:color w:val="auto"/>
              </w:rPr>
              <w:t>- $142</w:t>
            </w:r>
          </w:p>
        </w:tc>
        <w:tc>
          <w:tcPr>
            <w:tcW w:w="100" w:type="dxa"/>
            <w:vAlign w:val="bottom"/>
            <w:shd w:val="clear" w:color="auto" w:fill="CCEEFF"/>
          </w:tcPr>
          <w:p>
            <w:pPr>
              <w:spacing w:after="0"/>
              <w:rPr>
                <w:sz w:val="20"/>
                <w:szCs w:val="20"/>
                <w:color w:val="auto"/>
              </w:rPr>
            </w:pPr>
          </w:p>
        </w:tc>
      </w:tr>
      <w:tr>
        <w:trPr>
          <w:trHeight w:val="243"/>
        </w:trPr>
        <w:tc>
          <w:tcPr>
            <w:tcW w:w="6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RevPAR growth</w:t>
            </w:r>
          </w:p>
        </w:tc>
        <w:tc>
          <w:tcPr>
            <w:tcW w:w="2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0.0% to 2.0%</w:t>
            </w:r>
          </w:p>
        </w:tc>
      </w:tr>
      <w:tr>
        <w:trPr>
          <w:trHeight w:val="243"/>
        </w:trPr>
        <w:tc>
          <w:tcPr>
            <w:tcW w:w="6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Total hotel revenue</w:t>
            </w: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$308M</w:t>
            </w:r>
          </w:p>
        </w:tc>
        <w:tc>
          <w:tcPr>
            <w:tcW w:w="112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 $314M</w:t>
            </w:r>
          </w:p>
        </w:tc>
      </w:tr>
      <w:tr>
        <w:trPr>
          <w:trHeight w:val="243"/>
        </w:trPr>
        <w:tc>
          <w:tcPr>
            <w:tcW w:w="6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 (loss) to common shares</w:t>
            </w: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$(7.3)M</w:t>
            </w:r>
          </w:p>
        </w:tc>
        <w:tc>
          <w:tcPr>
            <w:tcW w:w="11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 $(2.9)M</w:t>
            </w:r>
          </w:p>
        </w:tc>
      </w:tr>
      <w:tr>
        <w:trPr>
          <w:trHeight w:val="243"/>
        </w:trPr>
        <w:tc>
          <w:tcPr>
            <w:tcW w:w="6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income (loss) per diluted share</w:t>
            </w: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$(0.15)</w:t>
            </w:r>
          </w:p>
        </w:tc>
        <w:tc>
          <w:tcPr>
            <w:tcW w:w="1020" w:type="dxa"/>
            <w:vAlign w:val="bottom"/>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 $(0.06)</w:t>
            </w: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Adjusted EBITDA</w:t>
            </w: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$95.3M</w:t>
            </w:r>
          </w:p>
        </w:tc>
        <w:tc>
          <w:tcPr>
            <w:tcW w:w="11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 $99.6M</w:t>
            </w:r>
          </w:p>
        </w:tc>
      </w:tr>
      <w:tr>
        <w:trPr>
          <w:trHeight w:val="243"/>
        </w:trPr>
        <w:tc>
          <w:tcPr>
            <w:tcW w:w="6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Adjusted FFO</w:t>
            </w: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$60.2M</w:t>
            </w:r>
          </w:p>
        </w:tc>
        <w:tc>
          <w:tcPr>
            <w:tcW w:w="112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 $64.5M</w:t>
            </w:r>
          </w:p>
        </w:tc>
      </w:tr>
      <w:tr>
        <w:trPr>
          <w:trHeight w:val="243"/>
        </w:trPr>
        <w:tc>
          <w:tcPr>
            <w:tcW w:w="6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Adjusted FFO per diluted share</w:t>
            </w: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$1.21</w:t>
            </w:r>
          </w:p>
        </w:tc>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 $1.29</w:t>
            </w:r>
          </w:p>
        </w:tc>
        <w:tc>
          <w:tcPr>
            <w:tcW w:w="100" w:type="dxa"/>
            <w:vAlign w:val="bottom"/>
          </w:tcPr>
          <w:p>
            <w:pPr>
              <w:spacing w:after="0"/>
              <w:rPr>
                <w:sz w:val="21"/>
                <w:szCs w:val="21"/>
                <w:color w:val="auto"/>
              </w:rPr>
            </w:pPr>
          </w:p>
        </w:tc>
      </w:tr>
      <w:tr>
        <w:trPr>
          <w:trHeight w:val="243"/>
        </w:trPr>
        <w:tc>
          <w:tcPr>
            <w:tcW w:w="6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Hotel EBITDA margins</w:t>
            </w:r>
          </w:p>
        </w:tc>
        <w:tc>
          <w:tcPr>
            <w:tcW w:w="1900" w:type="dxa"/>
            <w:vAlign w:val="bottom"/>
            <w:gridSpan w:val="2"/>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35%</w:t>
            </w: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Corporate cash administrative expenses</w:t>
            </w:r>
          </w:p>
        </w:tc>
        <w:tc>
          <w:tcPr>
            <w:tcW w:w="20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$11.3M</w:t>
            </w:r>
          </w:p>
        </w:tc>
      </w:tr>
      <w:tr>
        <w:trPr>
          <w:trHeight w:val="243"/>
        </w:trPr>
        <w:tc>
          <w:tcPr>
            <w:tcW w:w="6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Corporate non-cash administrative expenses</w:t>
            </w:r>
          </w:p>
        </w:tc>
        <w:tc>
          <w:tcPr>
            <w:tcW w:w="2000" w:type="dxa"/>
            <w:vAlign w:val="bottom"/>
            <w:gridSpan w:val="3"/>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$6.0M</w:t>
            </w:r>
          </w:p>
        </w:tc>
      </w:tr>
      <w:tr>
        <w:trPr>
          <w:trHeight w:val="243"/>
        </w:trPr>
        <w:tc>
          <w:tcPr>
            <w:tcW w:w="6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20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$0.1M</w:t>
            </w:r>
          </w:p>
        </w:tc>
      </w:tr>
      <w:tr>
        <w:trPr>
          <w:trHeight w:val="243"/>
        </w:trPr>
        <w:tc>
          <w:tcPr>
            <w:tcW w:w="6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Interest expense (excluding fee amortization)</w:t>
            </w:r>
          </w:p>
        </w:tc>
        <w:tc>
          <w:tcPr>
            <w:tcW w:w="2000" w:type="dxa"/>
            <w:vAlign w:val="bottom"/>
            <w:gridSpan w:val="3"/>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$25.0M</w:t>
            </w:r>
          </w:p>
        </w:tc>
      </w:tr>
      <w:tr>
        <w:trPr>
          <w:trHeight w:val="243"/>
        </w:trPr>
        <w:tc>
          <w:tcPr>
            <w:tcW w:w="6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Non-cash amortization of deferred fees</w:t>
            </w:r>
          </w:p>
        </w:tc>
        <w:tc>
          <w:tcPr>
            <w:tcW w:w="200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$2.0M</w:t>
            </w:r>
          </w:p>
        </w:tc>
      </w:tr>
      <w:tr>
        <w:trPr>
          <w:trHeight w:val="243"/>
        </w:trPr>
        <w:tc>
          <w:tcPr>
            <w:tcW w:w="6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Weighted average shares/units outstanding</w:t>
            </w:r>
          </w:p>
        </w:tc>
        <w:tc>
          <w:tcPr>
            <w:tcW w:w="2000" w:type="dxa"/>
            <w:vAlign w:val="bottom"/>
            <w:gridSpan w:val="3"/>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49.9M</w:t>
            </w:r>
          </w:p>
        </w:tc>
      </w:tr>
    </w:tbl>
    <w:p>
      <w:pPr>
        <w:spacing w:after="0" w:line="18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company provides guidance but does not undertake to update it for any developments in its business. Achievement of the results is subject to the risks disclosed in the company’s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Earnings Call</w:t>
      </w:r>
    </w:p>
    <w:p>
      <w:pPr>
        <w:spacing w:after="0" w:line="23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The company will hold its first quarter 2026 conference call later today at 11:00 a.m. Eastern Time. Shareholders and other interested parties may listen to a simultaneous webcast of the conference call on the Internet by logging onto Chatham’s website, www.chathamlodgingtrust.com, or may participate in the conference call by dialing 1-800-717-1738 or 1-646-307-1865 and referencing Chatham Lodging Trust. A recording of the call will be available by telephone until May 14, 2026, at 11:59</w:t>
      </w:r>
    </w:p>
    <w:p>
      <w:pPr>
        <w:spacing w:after="0" w:line="2"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22"/>
          <w:szCs w:val="22"/>
          <w:color w:val="auto"/>
        </w:rPr>
        <w:t>p.m. Eastern Time, by dialing 1-844-512-2921 or 1-412-317-6671, access ID 1139624. A replay of the conference call will be posted on Chatham’s website.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Chatham Lodging Trust</w:t>
      </w:r>
    </w:p>
    <w:p>
      <w:pPr>
        <w:spacing w:after="0" w:line="237"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22"/>
          <w:szCs w:val="22"/>
          <w:color w:val="auto"/>
        </w:rPr>
        <w:t>Chatham Lodging Trust is a self-advised, publicly traded real estate investment trust (REIT) focused primarily on investing in upscale, extended-stay hotels and premium-branded, select-service hotels. The company owns 39 hotels totaling</w:t>
      </w:r>
    </w:p>
    <w:p>
      <w:pPr>
        <w:spacing w:after="0" w:line="2" w:lineRule="exact"/>
        <w:rPr>
          <w:sz w:val="20"/>
          <w:szCs w:val="20"/>
          <w:color w:val="auto"/>
        </w:rPr>
      </w:pPr>
    </w:p>
    <w:p>
      <w:pPr>
        <w:ind w:right="1120"/>
        <w:spacing w:after="0" w:line="237" w:lineRule="auto"/>
        <w:rPr>
          <w:sz w:val="20"/>
          <w:szCs w:val="20"/>
          <w:color w:val="auto"/>
        </w:rPr>
      </w:pPr>
      <w:r>
        <w:rPr>
          <w:rFonts w:ascii="Times New Roman" w:cs="Times New Roman" w:eastAsia="Times New Roman" w:hAnsi="Times New Roman"/>
          <w:sz w:val="22"/>
          <w:szCs w:val="22"/>
          <w:color w:val="auto"/>
        </w:rPr>
        <w:t>5,610 rooms/suites in 18 states and the District of Columbia. Additional information about Chatham may be found at chathamlodgingtrust.com.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Non-GAAP Financial Measures</w:t>
      </w:r>
    </w:p>
    <w:p>
      <w:pPr>
        <w:spacing w:after="0" w:line="235"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Included in this press release are certain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non-GAAP financial measures,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within the meaning of Securities and Exchange Commission (SEC) rules and regulations, that are different from measures calculated and presented in accordance with GAAP (generally accepted accounting principles). The company considers the following non-GAAP financial measures useful to investors as key supplemental measures of its operating performance: (1) FFO, (2) Adjusted FFO, (3) EBITDA, (4) EBITDAre,</w:t>
      </w:r>
    </w:p>
    <w:p>
      <w:pPr>
        <w:ind w:left="320" w:hanging="312"/>
        <w:spacing w:after="0" w:line="232" w:lineRule="auto"/>
        <w:tabs>
          <w:tab w:leader="none" w:pos="320"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Adjusted EBITDA, (6) Adjusted Hotel EBITDA, (7) Hotel EBITDA, (8) Hotel EBITDA Margin, (9) Corporate EBITDA and</w:t>
      </w:r>
    </w:p>
    <w:p>
      <w:pPr>
        <w:ind w:right="120" w:firstLine="8"/>
        <w:spacing w:after="0" w:line="237" w:lineRule="auto"/>
        <w:tabs>
          <w:tab w:leader="none" w:pos="414"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Cash flow before CapEx and common dividends. These non-GAAP financial measures should be considered along with, but not as alternatives to, net income or loss as prescribed by GAAP as a measure of its operating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FFO As Defined by Nareit and Adjusted FFO</w:t>
      </w:r>
    </w:p>
    <w:p>
      <w:pPr>
        <w:spacing w:after="0" w:line="23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i w:val="1"/>
          <w:iCs w:val="1"/>
          <w:color w:val="auto"/>
        </w:rPr>
        <w:t>Chatham calculates FFO in accordance with standards established by the Nareit, which defines FFO as net income or loss (calculated in accordance with GAAP), excluding gains or losses from sales of real estate, impairment write-downs, the cumulative effect of changes in accounting principles, plus depreciation and amortization (excluding amortization of deferred financing costs), and after adjustments for unconsolidated partnerships and joint ventures following the same approach. Chatham believes that the presentation of FFO provides useful information to investors regarding its operating performance because it measures its performance without regard to specified non-cash items such as real estate depreciation and amortization, gain or loss on sale of real estate assets and certain other items that the company believes are not indicative of the property level performance of its hotel properties. Chatham believes that these items reflect historical cost of its asset base and its acquisition and disposition activities and are less reflective of its ongoing operations, and that by adjusting to exclude the effects of these items, FFO is useful to investors in comparing its operating performance between periods and between REITs that also report using the Nareit definition.</w:t>
      </w:r>
    </w:p>
    <w:p>
      <w:pPr>
        <w:spacing w:after="0" w:line="203" w:lineRule="exact"/>
        <w:rPr>
          <w:sz w:val="20"/>
          <w:szCs w:val="20"/>
          <w:color w:val="auto"/>
        </w:rPr>
      </w:pPr>
    </w:p>
    <w:p>
      <w:pPr>
        <w:ind w:right="560"/>
        <w:spacing w:after="0" w:line="238" w:lineRule="auto"/>
        <w:rPr>
          <w:sz w:val="20"/>
          <w:szCs w:val="20"/>
          <w:color w:val="auto"/>
        </w:rPr>
      </w:pPr>
      <w:r>
        <w:rPr>
          <w:rFonts w:ascii="Times New Roman" w:cs="Times New Roman" w:eastAsia="Times New Roman" w:hAnsi="Times New Roman"/>
          <w:sz w:val="22"/>
          <w:szCs w:val="22"/>
          <w:i w:val="1"/>
          <w:iCs w:val="1"/>
          <w:color w:val="auto"/>
        </w:rPr>
        <w:t>Chatham calculates Adjusted FFO by further adjusting FFO for certain additional items that are not addressed in Nareit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definition of FFO, including other charges, losses on the early extinguishment of debt and similar items related to its unconsolidated real estate entities that it believes do not represent costs related to hotel operations. Chatham believes that Adjusted FFO provides investors with another financial measure that may facilitate comparisons of operating performance between periods and between REITs that make similar adjustments to FFO.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EBITDA, EBITDAre, Adjusted EBITDA and Adjusted Hotel EBITDA</w:t>
      </w:r>
    </w:p>
    <w:p>
      <w:pPr>
        <w:spacing w:after="0" w:line="23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i w:val="1"/>
          <w:iCs w:val="1"/>
          <w:color w:val="auto"/>
        </w:rPr>
        <w:t>Chatham calculates EBITDA for purposes of the credit facility debt as net income or loss excluding: (1) interest expense; (2) provision for income taxes, including income taxes applicable to sale of assets; (3) depreciation and amortization; and (4) unconsolidated real estate entity items including interest, depreciation and amortization excluding gains and losses from sales of real estate. Chatham believes EBITDA is useful to investors in evaluating and facilitating comparisons of its operating performance because it helps investors compare Chatham's operating performance between periods and between REITs by removing the impact of its capital structure (primarily interest expense) and asset base (primarily depreciation and amortization) from its operating results. In addition, Chatham uses EBITDA as one measure in determining the value of hotel acquisitions and dispositions. Chatham calculates EBITDAre in accordance with Nareit guidelines, which defines EBITDAre as net income or loss excluding interest expense, income tax expense, depreciation and amortization expense, gains or losses from sales of real estate, impairment, and adjustments for unconsolidated joint ventures. We believe that the presentation of EBITDAre provides useful information to investors regarding the Company's operating performance and can facilitate comparisons of performance between periods and between REITs.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095" w:gutter="0" w:footer="0" w:header="0"/>
        </w:sectPr>
      </w:pPr>
    </w:p>
    <w:bookmarkStart w:id="9" w:name="page10"/>
    <w:bookmarkEnd w:id="9"/>
    <w:p>
      <w:pPr>
        <w:ind w:right="120"/>
        <w:spacing w:after="0" w:line="238" w:lineRule="auto"/>
        <w:rPr>
          <w:sz w:val="20"/>
          <w:szCs w:val="20"/>
          <w:color w:val="auto"/>
        </w:rPr>
      </w:pPr>
      <w:r>
        <w:rPr>
          <w:rFonts w:ascii="Times New Roman" w:cs="Times New Roman" w:eastAsia="Times New Roman" w:hAnsi="Times New Roman"/>
          <w:sz w:val="22"/>
          <w:szCs w:val="22"/>
          <w:i w:val="1"/>
          <w:iCs w:val="1"/>
          <w:color w:val="auto"/>
        </w:rPr>
        <w:t>Chatham calculates Adjusted EBITDA by further adjusting EBITDA for certain additional items, including other charges, losses on the early extinguishment of debt, amortization of non-cash share-based compensation and similar items related to its unconsolidated real estate entities, which it believes are not indicative of the performance of its underlying hotel properties entities. Chatham believes that Adjusted EBITDA provides investors with another financial measure that may facilitate comparisons of operating performance between periods and between REITs that report similar measures.</w:t>
      </w:r>
    </w:p>
    <w:p>
      <w:pPr>
        <w:spacing w:after="0" w:line="20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i w:val="1"/>
          <w:iCs w:val="1"/>
          <w:color w:val="auto"/>
        </w:rPr>
        <w:t>Adjusted Hotel EBITDA is defined as net income before interest, income taxes, depreciation and amortization, corporate general and administrative, impairment loss, loss on early extinguishment of debt, interest and other income and income or loss from unconsolidated real estate entities. Chatham presents Adjusted Hotel EBITDA because Chatham believes it is useful to investors in comparing its hotel operating performance between periods and comparing its Adjusted Hotel EBITDA to those of our peer companies. Adjusted Hotel EBITDA represents the results of operations for its wholly owned hotels only</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i w:val="1"/>
          <w:iCs w:val="1"/>
          <w:color w:val="auto"/>
        </w:rPr>
        <w:t>Although Chatham presents FFO, Adjusted FFO, EBITDA, EBITDAre, Adjusted EBITDA and Adjusted Hotel EBITDA because it believes they are useful to investors in comparing Chatham's operating performance between periods and between REITs that report similar measures, these measures have limitations as analytical tools. Some of these limitations are:</w:t>
      </w:r>
    </w:p>
    <w:p>
      <w:pPr>
        <w:spacing w:after="0" w:line="194" w:lineRule="exact"/>
        <w:rPr>
          <w:sz w:val="20"/>
          <w:szCs w:val="20"/>
          <w:color w:val="auto"/>
        </w:rPr>
      </w:pPr>
    </w:p>
    <w:p>
      <w:pPr>
        <w:ind w:left="660" w:right="260" w:hanging="328"/>
        <w:spacing w:after="0" w:line="243"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FFO, Adjusted FFO, EBITDA, EBITDAre, Adjusted EBITDA and Adjusted Hotel EBITDA do not reflect the 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cash expenditures, or future requirements, for capital expenditures or contractual commitments;</w:t>
      </w:r>
    </w:p>
    <w:p>
      <w:pPr>
        <w:spacing w:after="0" w:line="1" w:lineRule="exact"/>
        <w:rPr>
          <w:rFonts w:ascii="Times New Roman" w:cs="Times New Roman" w:eastAsia="Times New Roman" w:hAnsi="Times New Roman"/>
          <w:sz w:val="22"/>
          <w:szCs w:val="22"/>
          <w:color w:val="auto"/>
        </w:rPr>
      </w:pPr>
    </w:p>
    <w:p>
      <w:pPr>
        <w:ind w:left="660" w:right="280" w:hanging="328"/>
        <w:spacing w:after="0" w:line="230"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FFO, Adjusted FFO, EBITDA, EBITDAre, Adjusted EBITDA and Adjusted Hotel EBITDA do not reflect changes in, or cash requirements for, Chatham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working capital needs;</w:t>
      </w:r>
    </w:p>
    <w:p>
      <w:pPr>
        <w:spacing w:after="0" w:line="1" w:lineRule="exact"/>
        <w:rPr>
          <w:rFonts w:ascii="Times New Roman" w:cs="Times New Roman" w:eastAsia="Times New Roman" w:hAnsi="Times New Roman"/>
          <w:sz w:val="22"/>
          <w:szCs w:val="22"/>
          <w:color w:val="auto"/>
        </w:rPr>
      </w:pPr>
    </w:p>
    <w:p>
      <w:pPr>
        <w:ind w:left="660" w:right="200" w:hanging="328"/>
        <w:spacing w:after="0" w:line="230"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FFO, Adjusted FFO, EBITDA, EBITDAre, Adjusted EBITDA and Adjusted Hotel EBITDA do not reflect funds available to make cash distributions;</w:t>
      </w:r>
    </w:p>
    <w:p>
      <w:pPr>
        <w:spacing w:after="0" w:line="1" w:lineRule="exact"/>
        <w:rPr>
          <w:rFonts w:ascii="Times New Roman" w:cs="Times New Roman" w:eastAsia="Times New Roman" w:hAnsi="Times New Roman"/>
          <w:sz w:val="22"/>
          <w:szCs w:val="22"/>
          <w:color w:val="auto"/>
        </w:rPr>
      </w:pPr>
    </w:p>
    <w:p>
      <w:pPr>
        <w:ind w:left="660" w:right="620" w:hanging="328"/>
        <w:spacing w:after="0" w:line="230"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EBITDA, EBITDAre, Adjusted EBITDA and Adjusted Hotel EBITDA do not reflect the interest expense, or the cash requirements to service interest or principal payments, on Chatham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debts;</w:t>
      </w:r>
    </w:p>
    <w:p>
      <w:pPr>
        <w:spacing w:after="0" w:line="1" w:lineRule="exact"/>
        <w:rPr>
          <w:rFonts w:ascii="Times New Roman" w:cs="Times New Roman" w:eastAsia="Times New Roman" w:hAnsi="Times New Roman"/>
          <w:sz w:val="22"/>
          <w:szCs w:val="22"/>
          <w:color w:val="auto"/>
        </w:rPr>
      </w:pPr>
    </w:p>
    <w:p>
      <w:pPr>
        <w:ind w:left="660" w:right="60" w:hanging="328"/>
        <w:spacing w:after="0" w:line="230"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Although depreciation and amortization are non-cash charges, the assets being depreciated and amortized may need future replacement, and FFO, Adjusted FFO, EBITDA, EBITDAre, Adjusted EBITDA and Adjusted Hotel EBITDA do not reflect any cash requirements for such replacements;</w:t>
      </w:r>
    </w:p>
    <w:p>
      <w:pPr>
        <w:spacing w:after="0" w:line="1" w:lineRule="exact"/>
        <w:rPr>
          <w:rFonts w:ascii="Times New Roman" w:cs="Times New Roman" w:eastAsia="Times New Roman" w:hAnsi="Times New Roman"/>
          <w:sz w:val="22"/>
          <w:szCs w:val="22"/>
          <w:color w:val="auto"/>
        </w:rPr>
      </w:pPr>
    </w:p>
    <w:p>
      <w:pPr>
        <w:ind w:left="660" w:right="780" w:hanging="328"/>
        <w:spacing w:after="0" w:line="230"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Non-cash compensation is and will remain a key element of Chatham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overall long-term incentive compensation package, although Chatham excludes it as an expense when evaluating its ongoing operating performance for a particular period using adjusted EBITDA;</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Adjusted FFO, Adjusted EBITDA and Adjusted Hotel EBITDA do not reflect the impact of certain cash charges (including acquisition transaction costs) that result from matters Chatham considers not to be indicative of the underlying performance of its hotel properties; and</w:t>
      </w:r>
    </w:p>
    <w:p>
      <w:pPr>
        <w:spacing w:after="0" w:line="1" w:lineRule="exact"/>
        <w:rPr>
          <w:rFonts w:ascii="Times New Roman" w:cs="Times New Roman" w:eastAsia="Times New Roman" w:hAnsi="Times New Roman"/>
          <w:sz w:val="22"/>
          <w:szCs w:val="22"/>
          <w:color w:val="auto"/>
        </w:rPr>
      </w:pPr>
    </w:p>
    <w:p>
      <w:pPr>
        <w:ind w:left="660" w:right="120" w:hanging="328"/>
        <w:spacing w:after="0" w:line="237"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companies in Chatham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industry may calculate FFO, Adjusted FFO, EBITDA, EBITDAre, Adjusted EBITDA and Adjusted Hotel EBITDA differently than Chatham does, limiting their usefulness as a comparative measure.</w:t>
      </w:r>
    </w:p>
    <w:p>
      <w:pPr>
        <w:spacing w:after="0" w:line="20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i w:val="1"/>
          <w:iCs w:val="1"/>
          <w:color w:val="auto"/>
        </w:rPr>
        <w:t>In addition, FFO, Adjusted FFO, EBITDA, EBITDAre, Adjusted EBITDA and Adjusted Hotel EBITDA do not represent cash generated from operating activities as determined by GAAP and should not be considered as alternatives to net income or loss, cash flows from operations or any other operating performance measure prescribed by GAAP. FFO, Adjusted FFO, EBITDA, EBITDAre, Adjusted EBITDA and Adjusted Hotel EBITDA are not measures of Chatham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liquidity. Because of these limitations, FFO, Adjusted FFO, EBITDA, EBITDAre, Adjusted EBITDA and Adjusted Hotel EBITDA should not be considered in isolation or as a substitute for performance measures calculated in accordance with GAAP. Chatham compensates for these limitations by relying primarily on its GAAP results and using FFO, Adjusted FFO, EBITDA, EBITDAre, Adjusted EBITDA and Adjusted Hotel EBITDA only supplementally. Chatham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consolidated financial statements and the notes to those statements included elsewhere are prepared in accordance with GAAP. Chatham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reconciliation of FFO, Adjusted FFO, EBITDA, EBITDAre, Adjusted EBITDA and Adjusted Hotel EBITDA to net income attributable to common shareholders, as determined under GAAP,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 Safe Harbor</w:t>
      </w:r>
    </w:p>
    <w:p>
      <w:pPr>
        <w:spacing w:after="0" w:line="2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Note: This press release contains "forward-looking statements" within the meaning of Section 27A of the Securities Act of 1933, as amended, and Section 21E of the Securities Exchange Act of 1934, as amended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Act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These statements generally are characterized by the use of the words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believe,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expect,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anticipate,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estimate,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continue,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intend,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should,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may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 similar expressions. These forward-looking statements include information about possible or assumed future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results of the lodging industry and our business, financial condition, liquidity, results of operations, cash flow and plans and objectives. Although we believe that the expectations reflected in such forward-looking statements are based upon reasonable assumptions, our actual results could differ materially from those set forth in the forward-looking statements. Important factors that could cause our actual results to differ materially from expected results include, but are not limited to: national and local economic and business conditions, including the effect on travel of potential terrorist attacks, that will affect occupancy rates at our hotels and the demand for hotel products and services; operating risks associated with the hotel business; risks associated with the level of our indebtedness and its ability to meet covenants in its debt agreements; relationships with property managers; our ability to maintain its properties in a first-class manner, including meeting capital expenditure requirements; our ability to compete effectively in areas such as access, location, quality of accommodations and room rate structures; changes in travel patterns, taxes and government regulations which influence or determine wages, prices, construction procedures and costs; our ability to complete acquisitions and dispositions; and our ability to continue to satisfy complex rules in order for us to remain a REIT for federal income tax purposes; and inaccuracies of our accounting estimates and the uncertainty and economic impact of pandemics, epidemics or other public health emergencies of fear of such events, such as the recent COVID-19 pandemic. Given these uncertainties, undue reliance should not be placed on such statements. We undertake no obligation to publicly release the results of any revisions to these forward-looking statements that may be made to reflect future events or circumstances or to reflect the occurrence of unanticipated events. The forward-looking statements should also be read in light of the risk factors identified in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section in our Annual Report on Form 10-K for the year ended December 31, 2023, as updated by our subsequent filings with the SEC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65"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CHATHAM LODGING TRUST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2"/>
          <w:szCs w:val="22"/>
          <w:i w:val="1"/>
          <w:iCs w:val="1"/>
          <w:color w:val="auto"/>
        </w:rPr>
        <w:t>(In thousands,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March 31,</w:t>
            </w:r>
          </w:p>
        </w:tc>
        <w:tc>
          <w:tcPr>
            <w:tcW w:w="100" w:type="dxa"/>
            <w:vAlign w:val="bottom"/>
          </w:tcPr>
          <w:p>
            <w:pPr>
              <w:spacing w:after="0"/>
              <w:rPr>
                <w:sz w:val="22"/>
                <w:szCs w:val="22"/>
                <w:color w:val="auto"/>
              </w:rPr>
            </w:pPr>
          </w:p>
        </w:tc>
        <w:tc>
          <w:tcPr>
            <w:tcW w:w="156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December 31,</w:t>
            </w:r>
          </w:p>
        </w:tc>
      </w:tr>
      <w:tr>
        <w:trPr>
          <w:trHeight w:val="274"/>
        </w:trPr>
        <w:tc>
          <w:tcPr>
            <w:tcW w:w="80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72"/>
              <w:spacing w:after="0" w:line="237" w:lineRule="exact"/>
              <w:rPr>
                <w:sz w:val="20"/>
                <w:szCs w:val="20"/>
                <w:color w:val="auto"/>
              </w:rPr>
            </w:pPr>
            <w:r>
              <w:rPr>
                <w:rFonts w:ascii="Times New Roman" w:cs="Times New Roman" w:eastAsia="Times New Roman" w:hAnsi="Times New Roman"/>
                <w:sz w:val="22"/>
                <w:szCs w:val="22"/>
                <w:color w:val="auto"/>
                <w:w w:val="98"/>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8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Assets: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8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Investment in hotel properties, net</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1,189,314</w:t>
            </w:r>
          </w:p>
        </w:tc>
        <w:tc>
          <w:tcPr>
            <w:tcW w:w="420" w:type="dxa"/>
            <w:vAlign w:val="bottom"/>
            <w:gridSpan w:val="2"/>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1,106,890</w:t>
            </w: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Cash and cash equivalents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13,691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24,435</w:t>
            </w:r>
          </w:p>
        </w:tc>
      </w:tr>
      <w:tr>
        <w:trPr>
          <w:trHeight w:val="243"/>
        </w:trPr>
        <w:tc>
          <w:tcPr>
            <w:tcW w:w="8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Restricted cash</w:t>
            </w:r>
          </w:p>
        </w:tc>
        <w:tc>
          <w:tcPr>
            <w:tcW w:w="180" w:type="dxa"/>
            <w:vAlign w:val="bottom"/>
          </w:tcPr>
          <w:p>
            <w:pPr>
              <w:spacing w:after="0"/>
              <w:rPr>
                <w:sz w:val="21"/>
                <w:szCs w:val="21"/>
                <w:color w:val="auto"/>
              </w:rPr>
            </w:pP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8,203</w:t>
            </w: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Right of use asset, net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16,746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16,912</w:t>
            </w:r>
          </w:p>
        </w:tc>
      </w:tr>
      <w:tr>
        <w:trPr>
          <w:trHeight w:val="216"/>
        </w:trPr>
        <w:tc>
          <w:tcPr>
            <w:tcW w:w="8000" w:type="dxa"/>
            <w:vAlign w:val="bottom"/>
          </w:tcPr>
          <w:p>
            <w:pPr>
              <w:ind w:left="500"/>
              <w:spacing w:after="0" w:line="216" w:lineRule="exact"/>
              <w:rPr>
                <w:sz w:val="20"/>
                <w:szCs w:val="20"/>
                <w:color w:val="auto"/>
              </w:rPr>
            </w:pPr>
            <w:r>
              <w:rPr>
                <w:rFonts w:ascii="Times New Roman" w:cs="Times New Roman" w:eastAsia="Times New Roman" w:hAnsi="Times New Roman"/>
                <w:sz w:val="22"/>
                <w:szCs w:val="22"/>
                <w:color w:val="auto"/>
              </w:rPr>
              <w:t>Hotel receivables (net of allowance for doubtful accounts of $291 and $261,</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0"/>
        </w:trPr>
        <w:tc>
          <w:tcPr>
            <w:tcW w:w="80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respectively)</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2,831</w:t>
            </w: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Deferred costs, net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7,384</w:t>
            </w:r>
          </w:p>
        </w:tc>
      </w:tr>
      <w:tr>
        <w:trPr>
          <w:trHeight w:val="243"/>
        </w:trPr>
        <w:tc>
          <w:tcPr>
            <w:tcW w:w="8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Prepaid expenses and other assets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8,045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3,726</w:t>
            </w:r>
          </w:p>
        </w:tc>
      </w:tr>
      <w:tr>
        <w:trPr>
          <w:trHeight w:val="277"/>
        </w:trPr>
        <w:tc>
          <w:tcPr>
            <w:tcW w:w="8000" w:type="dxa"/>
            <w:vAlign w:val="bottom"/>
            <w:shd w:val="clear" w:color="auto" w:fill="CCEEFF"/>
          </w:tcPr>
          <w:p>
            <w:pPr>
              <w:ind w:left="820"/>
              <w:spacing w:after="0" w:line="237" w:lineRule="exact"/>
              <w:rPr>
                <w:sz w:val="20"/>
                <w:szCs w:val="20"/>
                <w:color w:val="auto"/>
              </w:rPr>
            </w:pPr>
            <w:r>
              <w:rPr>
                <w:rFonts w:ascii="Times New Roman" w:cs="Times New Roman" w:eastAsia="Times New Roman" w:hAnsi="Times New Roman"/>
                <w:sz w:val="22"/>
                <w:szCs w:val="22"/>
                <w:color w:val="auto"/>
              </w:rPr>
              <w:t>Total assets</w:t>
            </w:r>
          </w:p>
        </w:tc>
        <w:tc>
          <w:tcPr>
            <w:tcW w:w="1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1,243,274</w:t>
            </w:r>
          </w:p>
        </w:tc>
        <w:tc>
          <w:tcPr>
            <w:tcW w:w="420" w:type="dxa"/>
            <w:vAlign w:val="bottom"/>
            <w:gridSpan w:val="2"/>
            <w:shd w:val="clear" w:color="auto" w:fill="CCEEFF"/>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1,170,381</w:t>
            </w:r>
          </w:p>
        </w:tc>
      </w:tr>
      <w:tr>
        <w:trPr>
          <w:trHeight w:val="223"/>
        </w:trPr>
        <w:tc>
          <w:tcPr>
            <w:tcW w:w="8000" w:type="dxa"/>
            <w:vAlign w:val="bottom"/>
            <w:tcBorders>
              <w:top w:val="single" w:sz="8" w:color="CCEEFF"/>
            </w:tcBorders>
          </w:tcPr>
          <w:p>
            <w:pPr>
              <w:spacing w:after="0" w:line="224" w:lineRule="exact"/>
              <w:rPr>
                <w:sz w:val="20"/>
                <w:szCs w:val="20"/>
                <w:color w:val="auto"/>
              </w:rPr>
            </w:pPr>
            <w:r>
              <w:rPr>
                <w:rFonts w:ascii="Times New Roman" w:cs="Times New Roman" w:eastAsia="Times New Roman" w:hAnsi="Times New Roman"/>
                <w:sz w:val="22"/>
                <w:szCs w:val="22"/>
                <w:b w:val="1"/>
                <w:bCs w:val="1"/>
                <w:color w:val="auto"/>
              </w:rPr>
              <w:t>Liabilities and Equity:</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Mortgage debt, net</w:t>
            </w:r>
          </w:p>
        </w:tc>
        <w:tc>
          <w:tcPr>
            <w:tcW w:w="1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141,533</w:t>
            </w:r>
          </w:p>
        </w:tc>
        <w:tc>
          <w:tcPr>
            <w:tcW w:w="420" w:type="dxa"/>
            <w:vAlign w:val="bottom"/>
            <w:gridSpan w:val="2"/>
            <w:shd w:val="clear" w:color="auto" w:fill="CCEE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141,475</w:t>
            </w:r>
          </w:p>
        </w:tc>
      </w:tr>
      <w:tr>
        <w:trPr>
          <w:trHeight w:val="243"/>
        </w:trPr>
        <w:tc>
          <w:tcPr>
            <w:tcW w:w="8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Revolving credit facility</w:t>
            </w:r>
          </w:p>
        </w:tc>
        <w:tc>
          <w:tcPr>
            <w:tcW w:w="180" w:type="dxa"/>
            <w:vAlign w:val="bottom"/>
          </w:tcPr>
          <w:p>
            <w:pPr>
              <w:spacing w:after="0"/>
              <w:rPr>
                <w:sz w:val="21"/>
                <w:szCs w:val="21"/>
                <w:color w:val="auto"/>
              </w:rPr>
            </w:pPr>
          </w:p>
        </w:tc>
        <w:tc>
          <w:tcPr>
            <w:tcW w:w="1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Unsecured term loan, net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197,582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197,438</w:t>
            </w:r>
          </w:p>
        </w:tc>
      </w:tr>
      <w:tr>
        <w:trPr>
          <w:trHeight w:val="216"/>
        </w:trPr>
        <w:tc>
          <w:tcPr>
            <w:tcW w:w="8000" w:type="dxa"/>
            <w:vAlign w:val="bottom"/>
          </w:tcPr>
          <w:p>
            <w:pPr>
              <w:ind w:left="500"/>
              <w:spacing w:after="0" w:line="216" w:lineRule="exact"/>
              <w:rPr>
                <w:sz w:val="20"/>
                <w:szCs w:val="20"/>
                <w:color w:val="auto"/>
              </w:rPr>
            </w:pPr>
            <w:r>
              <w:rPr>
                <w:rFonts w:ascii="Times New Roman" w:cs="Times New Roman" w:eastAsia="Times New Roman" w:hAnsi="Times New Roman"/>
                <w:sz w:val="22"/>
                <w:szCs w:val="22"/>
                <w:color w:val="auto"/>
              </w:rPr>
              <w:t>Accounts payable and accrued expenses (including $748 and $234 due to related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0"/>
        </w:trPr>
        <w:tc>
          <w:tcPr>
            <w:tcW w:w="80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parties, respectively)</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26,648</w:t>
            </w: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Lease liability</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19,921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20,067</w:t>
            </w:r>
          </w:p>
        </w:tc>
      </w:tr>
      <w:tr>
        <w:trPr>
          <w:trHeight w:val="243"/>
        </w:trPr>
        <w:tc>
          <w:tcPr>
            <w:tcW w:w="8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Distributions payable</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7,040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6,704</w:t>
            </w:r>
          </w:p>
        </w:tc>
      </w:tr>
      <w:tr>
        <w:trPr>
          <w:trHeight w:val="237"/>
        </w:trPr>
        <w:tc>
          <w:tcPr>
            <w:tcW w:w="8000" w:type="dxa"/>
            <w:vAlign w:val="bottom"/>
            <w:tcBorders>
              <w:bottom w:val="single" w:sz="8" w:color="CCEEFF"/>
            </w:tcBorders>
            <w:shd w:val="clear" w:color="auto" w:fill="CCEEFF"/>
          </w:tcPr>
          <w:p>
            <w:pPr>
              <w:ind w:left="820"/>
              <w:spacing w:after="0" w:line="237" w:lineRule="exact"/>
              <w:rPr>
                <w:sz w:val="20"/>
                <w:szCs w:val="20"/>
                <w:color w:val="auto"/>
              </w:rPr>
            </w:pPr>
            <w:r>
              <w:rPr>
                <w:rFonts w:ascii="Times New Roman" w:cs="Times New Roman" w:eastAsia="Times New Roman" w:hAnsi="Times New Roman"/>
                <w:sz w:val="22"/>
                <w:szCs w:val="22"/>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481,415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392,332</w:t>
            </w:r>
          </w:p>
        </w:tc>
      </w:tr>
      <w:tr>
        <w:trPr>
          <w:trHeight w:val="236"/>
        </w:trPr>
        <w:tc>
          <w:tcPr>
            <w:tcW w:w="80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8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Equity:</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80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Shareholders’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8000" w:type="dxa"/>
            <w:vAlign w:val="bottom"/>
            <w:shd w:val="clear" w:color="auto" w:fill="CCEEFF"/>
          </w:tcPr>
          <w:p>
            <w:pPr>
              <w:ind w:left="500"/>
              <w:spacing w:after="0" w:line="216" w:lineRule="exact"/>
              <w:rPr>
                <w:sz w:val="20"/>
                <w:szCs w:val="20"/>
                <w:color w:val="auto"/>
              </w:rPr>
            </w:pPr>
            <w:r>
              <w:rPr>
                <w:rFonts w:ascii="Times New Roman" w:cs="Times New Roman" w:eastAsia="Times New Roman" w:hAnsi="Times New Roman"/>
                <w:sz w:val="22"/>
                <w:szCs w:val="22"/>
                <w:color w:val="auto"/>
              </w:rPr>
              <w:t>Preferred shares, $0.01 par value, 100,000,000 shares authorized; 4,800,000 and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4,800,000 shares issued and outstanding at March 31, 2026 and December 31, 2025,</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respectively</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16"/>
        </w:trPr>
        <w:tc>
          <w:tcPr>
            <w:tcW w:w="8000" w:type="dxa"/>
            <w:vAlign w:val="bottom"/>
          </w:tcPr>
          <w:p>
            <w:pPr>
              <w:ind w:left="500"/>
              <w:spacing w:after="0" w:line="216" w:lineRule="exact"/>
              <w:rPr>
                <w:sz w:val="20"/>
                <w:szCs w:val="20"/>
                <w:color w:val="auto"/>
              </w:rPr>
            </w:pPr>
            <w:r>
              <w:rPr>
                <w:rFonts w:ascii="Times New Roman" w:cs="Times New Roman" w:eastAsia="Times New Roman" w:hAnsi="Times New Roman"/>
                <w:sz w:val="22"/>
                <w:szCs w:val="22"/>
                <w:color w:val="auto"/>
              </w:rPr>
              <w:t>Common shares, $0.01 par value, 500,000,000 shares authorized; 46,875,361 and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8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47,708,587 shares issued and outstanding at March 31, 2026 and December 31,</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80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2025, respectively</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477</w:t>
            </w:r>
          </w:p>
        </w:tc>
      </w:tr>
      <w:tr>
        <w:trPr>
          <w:trHeight w:val="243"/>
        </w:trPr>
        <w:tc>
          <w:tcPr>
            <w:tcW w:w="8000" w:type="dxa"/>
            <w:vAlign w:val="bottom"/>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Additional paid-in capital</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1,032,911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1,039,804</w:t>
            </w:r>
          </w:p>
        </w:tc>
      </w:tr>
      <w:tr>
        <w:trPr>
          <w:trHeight w:val="243"/>
        </w:trPr>
        <w:tc>
          <w:tcPr>
            <w:tcW w:w="8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Accumulated deficit</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(310,507)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(299,527)</w:t>
            </w:r>
          </w:p>
        </w:tc>
      </w:tr>
      <w:tr>
        <w:trPr>
          <w:trHeight w:val="236"/>
        </w:trPr>
        <w:tc>
          <w:tcPr>
            <w:tcW w:w="8000" w:type="dxa"/>
            <w:vAlign w:val="bottom"/>
            <w:tcBorders>
              <w:bottom w:val="single" w:sz="8" w:color="CCEEFF"/>
            </w:tcBorders>
            <w:shd w:val="clear" w:color="auto" w:fill="CCEEFF"/>
          </w:tcPr>
          <w:p>
            <w:pPr>
              <w:ind w:left="820"/>
              <w:spacing w:after="0" w:line="237" w:lineRule="exact"/>
              <w:rPr>
                <w:sz w:val="20"/>
                <w:szCs w:val="20"/>
                <w:color w:val="auto"/>
              </w:rPr>
            </w:pPr>
            <w:r>
              <w:rPr>
                <w:rFonts w:ascii="Times New Roman" w:cs="Times New Roman" w:eastAsia="Times New Roman" w:hAnsi="Times New Roman"/>
                <w:sz w:val="22"/>
                <w:szCs w:val="22"/>
                <w:color w:val="auto"/>
              </w:rPr>
              <w:t>Total 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722,921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740,802</w:t>
            </w:r>
          </w:p>
        </w:tc>
      </w:tr>
      <w:tr>
        <w:trPr>
          <w:trHeight w:val="237"/>
        </w:trPr>
        <w:tc>
          <w:tcPr>
            <w:tcW w:w="800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Noncontrolling Interests: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8000" w:type="dxa"/>
            <w:vAlign w:val="bottom"/>
            <w:tcBorders>
              <w:bottom w:val="single" w:sz="8" w:color="CCEEFF"/>
            </w:tcBorders>
            <w:shd w:val="clear" w:color="auto" w:fill="CCEEFF"/>
          </w:tcPr>
          <w:p>
            <w:pPr>
              <w:ind w:left="500"/>
              <w:spacing w:after="0" w:line="243" w:lineRule="exact"/>
              <w:rPr>
                <w:sz w:val="20"/>
                <w:szCs w:val="20"/>
                <w:color w:val="auto"/>
              </w:rPr>
            </w:pPr>
            <w:r>
              <w:rPr>
                <w:rFonts w:ascii="Times New Roman" w:cs="Times New Roman" w:eastAsia="Times New Roman" w:hAnsi="Times New Roman"/>
                <w:sz w:val="22"/>
                <w:szCs w:val="22"/>
                <w:color w:val="auto"/>
              </w:rPr>
              <w:t>Noncontrolling interest in Operating Partnership</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37,247</w:t>
            </w:r>
          </w:p>
        </w:tc>
      </w:tr>
      <w:tr>
        <w:trPr>
          <w:trHeight w:val="236"/>
        </w:trPr>
        <w:tc>
          <w:tcPr>
            <w:tcW w:w="8000" w:type="dxa"/>
            <w:vAlign w:val="bottom"/>
          </w:tcPr>
          <w:p>
            <w:pPr>
              <w:ind w:left="820"/>
              <w:spacing w:after="0" w:line="237" w:lineRule="exact"/>
              <w:rPr>
                <w:sz w:val="20"/>
                <w:szCs w:val="20"/>
                <w:color w:val="auto"/>
              </w:rPr>
            </w:pPr>
            <w:r>
              <w:rPr>
                <w:rFonts w:ascii="Times New Roman" w:cs="Times New Roman" w:eastAsia="Times New Roman" w:hAnsi="Times New Roman"/>
                <w:sz w:val="22"/>
                <w:szCs w:val="22"/>
                <w:color w:val="auto"/>
              </w:rPr>
              <w:t>Total equity</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761,859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778,049</w:t>
            </w:r>
          </w:p>
        </w:tc>
      </w:tr>
      <w:tr>
        <w:trPr>
          <w:trHeight w:val="277"/>
        </w:trPr>
        <w:tc>
          <w:tcPr>
            <w:tcW w:w="8000" w:type="dxa"/>
            <w:vAlign w:val="bottom"/>
            <w:shd w:val="clear" w:color="auto" w:fill="CCEEFF"/>
          </w:tcPr>
          <w:p>
            <w:pPr>
              <w:ind w:left="820"/>
              <w:spacing w:after="0" w:line="237" w:lineRule="exact"/>
              <w:rPr>
                <w:sz w:val="20"/>
                <w:szCs w:val="20"/>
                <w:color w:val="auto"/>
              </w:rPr>
            </w:pPr>
            <w:r>
              <w:rPr>
                <w:rFonts w:ascii="Times New Roman" w:cs="Times New Roman" w:eastAsia="Times New Roman" w:hAnsi="Times New Roman"/>
                <w:sz w:val="22"/>
                <w:szCs w:val="22"/>
                <w:color w:val="auto"/>
              </w:rPr>
              <w:t>Total liabilities and equity</w:t>
            </w:r>
          </w:p>
        </w:tc>
        <w:tc>
          <w:tcPr>
            <w:tcW w:w="1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4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1,243,274</w:t>
            </w:r>
          </w:p>
        </w:tc>
        <w:tc>
          <w:tcPr>
            <w:tcW w:w="420" w:type="dxa"/>
            <w:vAlign w:val="bottom"/>
            <w:gridSpan w:val="2"/>
            <w:shd w:val="clear" w:color="auto" w:fill="CCEEFF"/>
          </w:tcPr>
          <w:p>
            <w:pPr>
              <w:jc w:val="right"/>
              <w:ind w:right="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1,170,381</w:t>
            </w:r>
          </w:p>
        </w:tc>
      </w:tr>
      <w:tr>
        <w:trPr>
          <w:trHeight w:val="581"/>
        </w:trPr>
        <w:tc>
          <w:tcPr>
            <w:tcW w:w="80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9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CHATHAM LODGING TRUST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i w:val="1"/>
          <w:i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6"/>
          </w:tcPr>
          <w:p>
            <w:pPr>
              <w:jc w:val="right"/>
              <w:ind w:right="319"/>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0" w:type="dxa"/>
            <w:vAlign w:val="bottom"/>
          </w:tcPr>
          <w:p>
            <w:pPr>
              <w:spacing w:after="0"/>
              <w:rPr>
                <w:sz w:val="1"/>
                <w:szCs w:val="1"/>
                <w:color w:val="auto"/>
              </w:rPr>
            </w:pPr>
          </w:p>
        </w:tc>
      </w:tr>
      <w:tr>
        <w:trPr>
          <w:trHeight w:val="274"/>
        </w:trPr>
        <w:tc>
          <w:tcPr>
            <w:tcW w:w="80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Revenue:</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Room</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61,203</w:t>
            </w:r>
          </w:p>
        </w:tc>
        <w:tc>
          <w:tcPr>
            <w:tcW w:w="140" w:type="dxa"/>
            <w:vAlign w:val="bottom"/>
          </w:tcPr>
          <w:p>
            <w:pPr>
              <w:spacing w:after="0"/>
              <w:rPr>
                <w:sz w:val="21"/>
                <w:szCs w:val="21"/>
                <w:color w:val="auto"/>
              </w:rPr>
            </w:pPr>
          </w:p>
        </w:tc>
        <w:tc>
          <w:tcPr>
            <w:tcW w:w="480" w:type="dxa"/>
            <w:vAlign w:val="bottom"/>
            <w:gridSpan w:val="2"/>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62,418</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Food and beverage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1,602</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1,659</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4,428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4,281</w:t>
            </w: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Reimbursable costs from related parties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271</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22"/>
                <w:szCs w:val="22"/>
                <w:color w:val="auto"/>
              </w:rPr>
              <w:t>277</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660"/>
              <w:spacing w:after="0" w:line="237" w:lineRule="exact"/>
              <w:rPr>
                <w:sz w:val="20"/>
                <w:szCs w:val="20"/>
                <w:color w:val="auto"/>
              </w:rPr>
            </w:pPr>
            <w:r>
              <w:rPr>
                <w:rFonts w:ascii="Times New Roman" w:cs="Times New Roman" w:eastAsia="Times New Roman" w:hAnsi="Times New Roman"/>
                <w:sz w:val="22"/>
                <w:szCs w:val="22"/>
                <w:color w:val="auto"/>
              </w:rPr>
              <w:t>Total revenue</w:t>
            </w: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67,504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68,635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Hotel operating expenses: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Room</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14,005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14,828</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Food and beverage</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1,368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1,437</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344</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311</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Other hotel operating</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1,115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1,025</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General and administrative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7,051</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6,911</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Franchise and marketing fees</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5,276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5,431</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Advertising and promotions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1,668</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1,607</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Utilities</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3,067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3,153</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Repairs and maintenance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3,666</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3,959</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Management fees paid to related parties</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2,262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2,290</w:t>
            </w: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Insurance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849</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22"/>
                <w:szCs w:val="22"/>
                <w:color w:val="auto"/>
              </w:rPr>
              <w:t>827</w:t>
            </w:r>
          </w:p>
        </w:tc>
        <w:tc>
          <w:tcPr>
            <w:tcW w:w="0" w:type="dxa"/>
            <w:vAlign w:val="bottom"/>
          </w:tcPr>
          <w:p>
            <w:pPr>
              <w:spacing w:after="0"/>
              <w:rPr>
                <w:sz w:val="1"/>
                <w:szCs w:val="1"/>
                <w:color w:val="auto"/>
              </w:rPr>
            </w:pPr>
          </w:p>
        </w:tc>
      </w:tr>
      <w:tr>
        <w:trPr>
          <w:trHeight w:val="236"/>
        </w:trPr>
        <w:tc>
          <w:tcPr>
            <w:tcW w:w="800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rPr>
              <w:t>Total hotel operating expenses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40,671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41,779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Depreciation and amortization</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14,778</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15,032</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Property taxes, ground rent and insurance</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5,160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5,744</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General and administrative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4,649</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4,606</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Other charges</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Reimbursable costs from related parties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271</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22"/>
                <w:szCs w:val="22"/>
                <w:color w:val="auto"/>
              </w:rPr>
              <w:t>277</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660"/>
              <w:spacing w:after="0" w:line="237" w:lineRule="exact"/>
              <w:rPr>
                <w:sz w:val="20"/>
                <w:szCs w:val="20"/>
                <w:color w:val="auto"/>
              </w:rPr>
            </w:pPr>
            <w:r>
              <w:rPr>
                <w:rFonts w:ascii="Times New Roman" w:cs="Times New Roman" w:eastAsia="Times New Roman" w:hAnsi="Times New Roman"/>
                <w:sz w:val="22"/>
                <w:szCs w:val="22"/>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65,984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67,445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22"/>
                <w:szCs w:val="22"/>
                <w:color w:val="auto"/>
              </w:rPr>
              <w:t>Operating income before gain on sale of hotel properties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1,520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1,190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Gain on sale of hotel properties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22"/>
                <w:szCs w:val="22"/>
                <w:color w:val="auto"/>
              </w:rPr>
              <w:t>7,118</w:t>
            </w:r>
          </w:p>
        </w:tc>
        <w:tc>
          <w:tcPr>
            <w:tcW w:w="0" w:type="dxa"/>
            <w:vAlign w:val="bottom"/>
          </w:tcPr>
          <w:p>
            <w:pPr>
              <w:spacing w:after="0"/>
              <w:rPr>
                <w:sz w:val="1"/>
                <w:szCs w:val="1"/>
                <w:color w:val="auto"/>
              </w:rPr>
            </w:pPr>
          </w:p>
        </w:tc>
      </w:tr>
      <w:tr>
        <w:trPr>
          <w:trHeight w:val="236"/>
        </w:trPr>
        <w:tc>
          <w:tcPr>
            <w:tcW w:w="8000" w:type="dxa"/>
            <w:vAlign w:val="bottom"/>
            <w:tcBorders>
              <w:top w:val="single" w:sz="8" w:color="CCEEFF"/>
            </w:tcBorders>
            <w:shd w:val="clear" w:color="auto" w:fill="CCEEFF"/>
          </w:tcPr>
          <w:p>
            <w:pPr>
              <w:ind w:left="180"/>
              <w:spacing w:after="0" w:line="237" w:lineRule="exact"/>
              <w:rPr>
                <w:sz w:val="20"/>
                <w:szCs w:val="20"/>
                <w:color w:val="auto"/>
              </w:rPr>
            </w:pPr>
            <w:r>
              <w:rPr>
                <w:rFonts w:ascii="Times New Roman" w:cs="Times New Roman" w:eastAsia="Times New Roman" w:hAnsi="Times New Roman"/>
                <w:sz w:val="22"/>
                <w:szCs w:val="22"/>
                <w:color w:val="auto"/>
              </w:rPr>
              <w:t>Operating income</w:t>
            </w:r>
          </w:p>
        </w:tc>
        <w:tc>
          <w:tcPr>
            <w:tcW w:w="20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1,642</w:t>
            </w: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8,308</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Interest and other income</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Interest expense, including amortization of deferred fees</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(6,201)</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(6,852)</w:t>
            </w:r>
          </w:p>
        </w:tc>
        <w:tc>
          <w:tcPr>
            <w:tcW w:w="0" w:type="dxa"/>
            <w:vAlign w:val="bottom"/>
          </w:tcPr>
          <w:p>
            <w:pPr>
              <w:spacing w:after="0"/>
              <w:rPr>
                <w:sz w:val="1"/>
                <w:szCs w:val="1"/>
                <w:color w:val="auto"/>
              </w:rPr>
            </w:pPr>
          </w:p>
        </w:tc>
      </w:tr>
      <w:tr>
        <w:trPr>
          <w:trHeight w:val="237"/>
        </w:trPr>
        <w:tc>
          <w:tcPr>
            <w:tcW w:w="80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Income before income tax expense</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(4,480)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Income tax expense</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7"/>
        </w:trPr>
        <w:tc>
          <w:tcPr>
            <w:tcW w:w="80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(loss) income</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(4,542)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Net loss attributable to noncontrolling interests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238</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37"/>
        </w:trPr>
        <w:tc>
          <w:tcPr>
            <w:tcW w:w="80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(loss) income attributable to Chatham Lodging Trust</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(4,304)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Preferred dividends</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(1,987)</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(1,987)</w:t>
            </w:r>
          </w:p>
        </w:tc>
        <w:tc>
          <w:tcPr>
            <w:tcW w:w="0" w:type="dxa"/>
            <w:vAlign w:val="bottom"/>
          </w:tcPr>
          <w:p>
            <w:pPr>
              <w:spacing w:after="0"/>
              <w:rPr>
                <w:sz w:val="1"/>
                <w:szCs w:val="1"/>
                <w:color w:val="auto"/>
              </w:rPr>
            </w:pPr>
          </w:p>
        </w:tc>
      </w:tr>
      <w:tr>
        <w:trPr>
          <w:trHeight w:val="290"/>
        </w:trPr>
        <w:tc>
          <w:tcPr>
            <w:tcW w:w="8000" w:type="dxa"/>
            <w:vAlign w:val="bottom"/>
            <w:tcBorders>
              <w:bottom w:val="single" w:sz="8" w:color="CCEEFF"/>
            </w:tcBorders>
          </w:tcPr>
          <w:p>
            <w:pPr>
              <w:spacing w:after="0" w:line="250" w:lineRule="exact"/>
              <w:rPr>
                <w:sz w:val="20"/>
                <w:szCs w:val="20"/>
                <w:color w:val="auto"/>
              </w:rPr>
            </w:pPr>
            <w:r>
              <w:rPr>
                <w:rFonts w:ascii="Times New Roman" w:cs="Times New Roman" w:eastAsia="Times New Roman" w:hAnsi="Times New Roman"/>
                <w:sz w:val="22"/>
                <w:szCs w:val="22"/>
                <w:color w:val="auto"/>
              </w:rPr>
              <w:t>Net loss attributable to common shareholders</w:t>
            </w: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(6,291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(451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Loss per common share - basic:</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Net loss attributable to common shareholders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(0.13)</w:t>
            </w:r>
          </w:p>
        </w:tc>
        <w:tc>
          <w:tcPr>
            <w:tcW w:w="4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Loss per common share -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Net loss attributable to common shareholders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(0.13)</w:t>
            </w:r>
          </w:p>
        </w:tc>
        <w:tc>
          <w:tcPr>
            <w:tcW w:w="4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Weighted average number of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47,251,535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48,960,924</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Diluted</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47,251,535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48,960,924</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Distributions declared per common share:</w:t>
            </w:r>
          </w:p>
        </w:tc>
        <w:tc>
          <w:tcPr>
            <w:tcW w:w="2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0.10</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2"/>
                <w:szCs w:val="22"/>
                <w:color w:val="auto"/>
              </w:rPr>
              <w:t>0.09</w:t>
            </w:r>
          </w:p>
        </w:tc>
        <w:tc>
          <w:tcPr>
            <w:tcW w:w="0" w:type="dxa"/>
            <w:vAlign w:val="bottom"/>
          </w:tcPr>
          <w:p>
            <w:pPr>
              <w:spacing w:after="0"/>
              <w:rPr>
                <w:sz w:val="1"/>
                <w:szCs w:val="1"/>
                <w:color w:val="auto"/>
              </w:rPr>
            </w:pPr>
          </w:p>
        </w:tc>
      </w:tr>
      <w:tr>
        <w:trPr>
          <w:trHeight w:val="601"/>
        </w:trPr>
        <w:tc>
          <w:tcPr>
            <w:tcW w:w="8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CHATHAM LODGING TRUST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Net Income to Adjusted FFO, EBITDA, EBITDAre and Adjusted EBITDA</w:t>
      </w:r>
    </w:p>
    <w:p>
      <w:pPr>
        <w:jc w:val="center"/>
        <w:spacing w:after="0"/>
        <w:rPr>
          <w:sz w:val="20"/>
          <w:szCs w:val="20"/>
          <w:color w:val="auto"/>
        </w:rPr>
      </w:pPr>
      <w:r>
        <w:rPr>
          <w:rFonts w:ascii="Times New Roman" w:cs="Times New Roman" w:eastAsia="Times New Roman" w:hAnsi="Times New Roman"/>
          <w:sz w:val="22"/>
          <w:szCs w:val="22"/>
          <w:i w:val="1"/>
          <w:iCs w:val="1"/>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6"/>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0" w:type="dxa"/>
            <w:vAlign w:val="bottom"/>
          </w:tcPr>
          <w:p>
            <w:pPr>
              <w:spacing w:after="0"/>
              <w:rPr>
                <w:sz w:val="1"/>
                <w:szCs w:val="1"/>
                <w:color w:val="auto"/>
              </w:rPr>
            </w:pPr>
          </w:p>
        </w:tc>
      </w:tr>
      <w:tr>
        <w:trPr>
          <w:trHeight w:val="274"/>
        </w:trPr>
        <w:tc>
          <w:tcPr>
            <w:tcW w:w="80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Funds From Operations (“FFO”):</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(loss) income</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(4,542)</w:t>
            </w:r>
          </w:p>
        </w:tc>
        <w:tc>
          <w:tcPr>
            <w:tcW w:w="480" w:type="dxa"/>
            <w:vAlign w:val="bottom"/>
            <w:gridSpan w:val="2"/>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1,519</w:t>
            </w: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Preferred dividends</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(1,987)</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(1,987)</w:t>
            </w:r>
          </w:p>
        </w:tc>
        <w:tc>
          <w:tcPr>
            <w:tcW w:w="0" w:type="dxa"/>
            <w:vAlign w:val="bottom"/>
          </w:tcPr>
          <w:p>
            <w:pPr>
              <w:spacing w:after="0"/>
              <w:rPr>
                <w:sz w:val="1"/>
                <w:szCs w:val="1"/>
                <w:color w:val="auto"/>
              </w:rPr>
            </w:pPr>
          </w:p>
        </w:tc>
      </w:tr>
      <w:tr>
        <w:trPr>
          <w:trHeight w:val="237"/>
        </w:trPr>
        <w:tc>
          <w:tcPr>
            <w:tcW w:w="80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loss attributable to common shares and common units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(6,529)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Gain on sale of hotel properties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(7,118)</w:t>
            </w:r>
          </w:p>
        </w:tc>
        <w:tc>
          <w:tcPr>
            <w:tcW w:w="0" w:type="dxa"/>
            <w:vAlign w:val="bottom"/>
          </w:tcPr>
          <w:p>
            <w:pPr>
              <w:spacing w:after="0"/>
              <w:rPr>
                <w:sz w:val="1"/>
                <w:szCs w:val="1"/>
                <w:color w:val="auto"/>
              </w:rPr>
            </w:pPr>
          </w:p>
        </w:tc>
      </w:tr>
      <w:tr>
        <w:trPr>
          <w:trHeight w:val="257"/>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of hotel properties owned</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14,272</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14,466</w:t>
            </w:r>
          </w:p>
        </w:tc>
        <w:tc>
          <w:tcPr>
            <w:tcW w:w="0" w:type="dxa"/>
            <w:vAlign w:val="bottom"/>
          </w:tcPr>
          <w:p>
            <w:pPr>
              <w:spacing w:after="0"/>
              <w:rPr>
                <w:sz w:val="1"/>
                <w:szCs w:val="1"/>
                <w:color w:val="auto"/>
              </w:rPr>
            </w:pPr>
          </w:p>
        </w:tc>
      </w:tr>
      <w:tr>
        <w:trPr>
          <w:trHeight w:val="236"/>
        </w:trPr>
        <w:tc>
          <w:tcPr>
            <w:tcW w:w="8000" w:type="dxa"/>
            <w:vAlign w:val="bottom"/>
            <w:tcBorders>
              <w:top w:val="single" w:sz="8" w:color="CCEEFF"/>
            </w:tcBorders>
            <w:shd w:val="clear" w:color="auto" w:fill="CCEEFF"/>
          </w:tcPr>
          <w:p>
            <w:pPr>
              <w:ind w:left="180"/>
              <w:spacing w:after="0" w:line="237" w:lineRule="exact"/>
              <w:rPr>
                <w:sz w:val="20"/>
                <w:szCs w:val="20"/>
                <w:color w:val="auto"/>
              </w:rPr>
            </w:pPr>
            <w:r>
              <w:rPr>
                <w:rFonts w:ascii="Times New Roman" w:cs="Times New Roman" w:eastAsia="Times New Roman" w:hAnsi="Times New Roman"/>
                <w:sz w:val="22"/>
                <w:szCs w:val="22"/>
                <w:color w:val="auto"/>
              </w:rPr>
              <w:t>FFO attributable to common share and unit holders</w:t>
            </w:r>
          </w:p>
        </w:tc>
        <w:tc>
          <w:tcPr>
            <w:tcW w:w="20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7,621</w:t>
            </w: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6,880</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Share-based compensation</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1,531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1,607</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Amortization of finance lease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453</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514</w:t>
            </w:r>
          </w:p>
        </w:tc>
        <w:tc>
          <w:tcPr>
            <w:tcW w:w="0" w:type="dxa"/>
            <w:vAlign w:val="bottom"/>
          </w:tcPr>
          <w:p>
            <w:pPr>
              <w:spacing w:after="0"/>
              <w:rPr>
                <w:sz w:val="1"/>
                <w:szCs w:val="1"/>
                <w:color w:val="auto"/>
              </w:rPr>
            </w:pPr>
          </w:p>
        </w:tc>
      </w:tr>
      <w:tr>
        <w:trPr>
          <w:trHeight w:val="257"/>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Other charges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455</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180"/>
              <w:spacing w:after="0" w:line="250" w:lineRule="exact"/>
              <w:rPr>
                <w:sz w:val="20"/>
                <w:szCs w:val="20"/>
                <w:color w:val="auto"/>
              </w:rPr>
            </w:pPr>
            <w:r>
              <w:rPr>
                <w:rFonts w:ascii="Times New Roman" w:cs="Times New Roman" w:eastAsia="Times New Roman" w:hAnsi="Times New Roman"/>
                <w:sz w:val="22"/>
                <w:szCs w:val="22"/>
                <w:color w:val="auto"/>
              </w:rPr>
              <w:t>Adjusted FFO attributable to common share and unit holders</w:t>
            </w:r>
          </w:p>
        </w:tc>
        <w:tc>
          <w:tcPr>
            <w:tcW w:w="2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10,060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19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9,008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Weighted average number of common shares and units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Basic</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48,972,121</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50,711,873</w:t>
            </w:r>
          </w:p>
        </w:tc>
        <w:tc>
          <w:tcPr>
            <w:tcW w:w="0" w:type="dxa"/>
            <w:vAlign w:val="bottom"/>
          </w:tcPr>
          <w:p>
            <w:pPr>
              <w:spacing w:after="0"/>
              <w:rPr>
                <w:sz w:val="1"/>
                <w:szCs w:val="1"/>
                <w:color w:val="auto"/>
              </w:rPr>
            </w:pPr>
          </w:p>
        </w:tc>
      </w:tr>
      <w:tr>
        <w:trPr>
          <w:trHeight w:val="282"/>
        </w:trPr>
        <w:tc>
          <w:tcPr>
            <w:tcW w:w="80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Diluted</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50,005,191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51,593,653</w:t>
            </w:r>
          </w:p>
        </w:tc>
        <w:tc>
          <w:tcPr>
            <w:tcW w:w="0" w:type="dxa"/>
            <w:vAlign w:val="bottom"/>
          </w:tcPr>
          <w:p>
            <w:pPr>
              <w:spacing w:after="0"/>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6"/>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r>
      <w:tr>
        <w:trPr>
          <w:trHeight w:val="274"/>
        </w:trPr>
        <w:tc>
          <w:tcPr>
            <w:tcW w:w="80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80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36"/>
        </w:trPr>
        <w:tc>
          <w:tcPr>
            <w:tcW w:w="80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Earnings Before Interest, Taxes, Depreciation and Amortization (“EBITDA”):</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(loss) income</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2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(4,542)</w:t>
            </w:r>
          </w:p>
        </w:tc>
        <w:tc>
          <w:tcPr>
            <w:tcW w:w="500" w:type="dxa"/>
            <w:vAlign w:val="bottom"/>
            <w:gridSpan w:val="2"/>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1,519</w:t>
            </w:r>
          </w:p>
        </w:tc>
      </w:tr>
      <w:tr>
        <w:trPr>
          <w:trHeight w:val="243"/>
        </w:trPr>
        <w:tc>
          <w:tcPr>
            <w:tcW w:w="8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Interest expense, including amortization of deferred fees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6,201</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6,852</w:t>
            </w:r>
          </w:p>
        </w:tc>
      </w:tr>
      <w:tr>
        <w:trPr>
          <w:trHeight w:val="243"/>
        </w:trPr>
        <w:tc>
          <w:tcPr>
            <w:tcW w:w="8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14,778</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2"/>
                <w:szCs w:val="22"/>
                <w:color w:val="auto"/>
              </w:rPr>
              <w:t>15,032</w:t>
            </w:r>
          </w:p>
        </w:tc>
      </w:tr>
      <w:tr>
        <w:trPr>
          <w:trHeight w:val="237"/>
        </w:trPr>
        <w:tc>
          <w:tcPr>
            <w:tcW w:w="800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EBITDA</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16,499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23,403</w:t>
            </w:r>
          </w:p>
        </w:tc>
        <w:tc>
          <w:tcPr>
            <w:tcW w:w="100" w:type="dxa"/>
            <w:vAlign w:val="bottom"/>
          </w:tcPr>
          <w:p>
            <w:pPr>
              <w:spacing w:after="0"/>
              <w:rPr>
                <w:sz w:val="20"/>
                <w:szCs w:val="20"/>
                <w:color w:val="auto"/>
              </w:rPr>
            </w:pPr>
          </w:p>
        </w:tc>
      </w:tr>
      <w:tr>
        <w:trPr>
          <w:trHeight w:val="25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Gain on sale of hotel properties</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(122)</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(7,118)</w:t>
            </w:r>
          </w:p>
        </w:tc>
      </w:tr>
      <w:tr>
        <w:trPr>
          <w:trHeight w:val="236"/>
        </w:trPr>
        <w:tc>
          <w:tcPr>
            <w:tcW w:w="800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EBITDAre</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16,377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16,285</w:t>
            </w:r>
          </w:p>
        </w:tc>
        <w:tc>
          <w:tcPr>
            <w:tcW w:w="100" w:type="dxa"/>
            <w:vAlign w:val="bottom"/>
          </w:tcPr>
          <w:p>
            <w:pPr>
              <w:spacing w:after="0"/>
              <w:rPr>
                <w:sz w:val="20"/>
                <w:szCs w:val="20"/>
                <w:color w:val="auto"/>
              </w:rPr>
            </w:pPr>
          </w:p>
        </w:tc>
      </w:tr>
      <w:tr>
        <w:trPr>
          <w:trHeight w:val="243"/>
        </w:trPr>
        <w:tc>
          <w:tcPr>
            <w:tcW w:w="8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charges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7"/>
        </w:trPr>
        <w:tc>
          <w:tcPr>
            <w:tcW w:w="8000" w:type="dxa"/>
            <w:vAlign w:val="bottom"/>
          </w:tcPr>
          <w:p>
            <w:pPr>
              <w:spacing w:after="0"/>
              <w:rPr>
                <w:sz w:val="20"/>
                <w:szCs w:val="20"/>
                <w:color w:val="auto"/>
              </w:rPr>
            </w:pPr>
            <w:r>
              <w:rPr>
                <w:rFonts w:ascii="Times New Roman" w:cs="Times New Roman" w:eastAsia="Times New Roman" w:hAnsi="Times New Roman"/>
                <w:sz w:val="22"/>
                <w:szCs w:val="22"/>
                <w:color w:val="auto"/>
              </w:rPr>
              <w:t>Share-based compensation</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1,531</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1,607</w:t>
            </w:r>
          </w:p>
        </w:tc>
      </w:tr>
      <w:tr>
        <w:trPr>
          <w:trHeight w:val="250"/>
        </w:trPr>
        <w:tc>
          <w:tcPr>
            <w:tcW w:w="8000" w:type="dxa"/>
            <w:vAlign w:val="bottom"/>
            <w:tcBorders>
              <w:top w:val="single" w:sz="8" w:color="CCEEFF"/>
              <w:bottom w:val="single" w:sz="8" w:color="CCEEFF"/>
            </w:tcBorders>
            <w:shd w:val="clear" w:color="auto" w:fill="CCEEFF"/>
          </w:tcPr>
          <w:p>
            <w:pPr>
              <w:ind w:left="180"/>
              <w:spacing w:after="0" w:line="250" w:lineRule="exact"/>
              <w:rPr>
                <w:sz w:val="20"/>
                <w:szCs w:val="20"/>
                <w:color w:val="auto"/>
              </w:rPr>
            </w:pPr>
            <w:r>
              <w:rPr>
                <w:rFonts w:ascii="Times New Roman" w:cs="Times New Roman" w:eastAsia="Times New Roman" w:hAnsi="Times New Roman"/>
                <w:sz w:val="22"/>
                <w:szCs w:val="22"/>
                <w:color w:val="auto"/>
              </w:rPr>
              <w:t>Adjusted EBITDA</w:t>
            </w:r>
          </w:p>
        </w:tc>
        <w:tc>
          <w:tcPr>
            <w:tcW w:w="2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18,363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1"/>
        </w:trPr>
        <w:tc>
          <w:tcPr>
            <w:tcW w:w="8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CHATHAM LODGING TRUST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Net Income to Adjusted Hotel EBITDA</w:t>
      </w:r>
    </w:p>
    <w:p>
      <w:pPr>
        <w:jc w:val="center"/>
        <w:spacing w:after="0"/>
        <w:rPr>
          <w:sz w:val="20"/>
          <w:szCs w:val="20"/>
          <w:color w:val="auto"/>
        </w:rPr>
      </w:pPr>
      <w:r>
        <w:rPr>
          <w:rFonts w:ascii="Times New Roman" w:cs="Times New Roman" w:eastAsia="Times New Roman" w:hAnsi="Times New Roman"/>
          <w:sz w:val="22"/>
          <w:szCs w:val="22"/>
          <w:i w:val="1"/>
          <w:iCs w:val="1"/>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6"/>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r>
      <w:tr>
        <w:trPr>
          <w:trHeight w:val="274"/>
        </w:trPr>
        <w:tc>
          <w:tcPr>
            <w:tcW w:w="94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94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line="250" w:lineRule="exact"/>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1"/>
                <w:szCs w:val="21"/>
                <w:color w:val="auto"/>
              </w:rPr>
            </w:pPr>
          </w:p>
        </w:tc>
      </w:tr>
      <w:tr>
        <w:trPr>
          <w:trHeight w:val="237"/>
        </w:trPr>
        <w:tc>
          <w:tcPr>
            <w:tcW w:w="94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0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(loss) income</w:t>
            </w:r>
          </w:p>
        </w:tc>
        <w:tc>
          <w:tcPr>
            <w:tcW w:w="2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2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(4,542)</w:t>
            </w:r>
          </w:p>
        </w:tc>
        <w:tc>
          <w:tcPr>
            <w:tcW w:w="500" w:type="dxa"/>
            <w:vAlign w:val="bottom"/>
            <w:gridSpan w:val="2"/>
            <w:shd w:val="clear" w:color="auto" w:fill="CCEE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1,519</w:t>
            </w:r>
          </w:p>
        </w:tc>
      </w:tr>
      <w:tr>
        <w:trPr>
          <w:trHeight w:val="243"/>
        </w:trPr>
        <w:tc>
          <w:tcPr>
            <w:tcW w:w="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w:t>
            </w:r>
          </w:p>
        </w:tc>
        <w:tc>
          <w:tcPr>
            <w:tcW w:w="70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Interest expense, including amortization of deferred fees</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6,201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6,852</w:t>
            </w:r>
          </w:p>
        </w:tc>
      </w:tr>
      <w:tr>
        <w:trPr>
          <w:trHeight w:val="243"/>
        </w:trPr>
        <w:tc>
          <w:tcPr>
            <w:tcW w:w="940" w:type="dxa"/>
            <w:vAlign w:val="bottom"/>
            <w:shd w:val="clear" w:color="auto" w:fill="CCEEFF"/>
          </w:tcPr>
          <w:p>
            <w:pPr>
              <w:spacing w:after="0"/>
              <w:rPr>
                <w:sz w:val="21"/>
                <w:szCs w:val="21"/>
                <w:color w:val="auto"/>
              </w:rPr>
            </w:pPr>
          </w:p>
        </w:tc>
        <w:tc>
          <w:tcPr>
            <w:tcW w:w="706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Depreciation and amortization</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14,778</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15,032</w:t>
            </w:r>
          </w:p>
        </w:tc>
      </w:tr>
      <w:tr>
        <w:trPr>
          <w:trHeight w:val="243"/>
        </w:trPr>
        <w:tc>
          <w:tcPr>
            <w:tcW w:w="940" w:type="dxa"/>
            <w:vAlign w:val="bottom"/>
          </w:tcPr>
          <w:p>
            <w:pPr>
              <w:spacing w:after="0"/>
              <w:rPr>
                <w:sz w:val="21"/>
                <w:szCs w:val="21"/>
                <w:color w:val="auto"/>
              </w:rPr>
            </w:pPr>
          </w:p>
        </w:tc>
        <w:tc>
          <w:tcPr>
            <w:tcW w:w="70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Corporate general and administrative</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4,649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4,606</w:t>
            </w:r>
          </w:p>
        </w:tc>
      </w:tr>
      <w:tr>
        <w:trPr>
          <w:trHeight w:val="243"/>
        </w:trPr>
        <w:tc>
          <w:tcPr>
            <w:tcW w:w="940" w:type="dxa"/>
            <w:vAlign w:val="bottom"/>
            <w:shd w:val="clear" w:color="auto" w:fill="CCEEFF"/>
          </w:tcPr>
          <w:p>
            <w:pPr>
              <w:spacing w:after="0"/>
              <w:rPr>
                <w:sz w:val="21"/>
                <w:szCs w:val="21"/>
                <w:color w:val="auto"/>
              </w:rPr>
            </w:pPr>
          </w:p>
        </w:tc>
        <w:tc>
          <w:tcPr>
            <w:tcW w:w="706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Other charges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455</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940" w:type="dxa"/>
            <w:vAlign w:val="bottom"/>
          </w:tcPr>
          <w:p>
            <w:pPr>
              <w:spacing w:after="0"/>
              <w:rPr>
                <w:sz w:val="21"/>
                <w:szCs w:val="21"/>
                <w:color w:val="auto"/>
              </w:rPr>
            </w:pPr>
          </w:p>
        </w:tc>
        <w:tc>
          <w:tcPr>
            <w:tcW w:w="70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200" w:type="dxa"/>
            <w:vAlign w:val="bottom"/>
          </w:tcPr>
          <w:p>
            <w:pPr>
              <w:spacing w:after="0"/>
              <w:rPr>
                <w:sz w:val="21"/>
                <w:szCs w:val="21"/>
                <w:color w:val="auto"/>
              </w:rPr>
            </w:pP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9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Less:</w:t>
            </w:r>
          </w:p>
        </w:tc>
        <w:tc>
          <w:tcPr>
            <w:tcW w:w="7060" w:type="dxa"/>
            <w:vAlign w:val="bottom"/>
            <w:shd w:val="clear" w:color="auto" w:fill="CCEEFF"/>
          </w:tcPr>
          <w:p>
            <w:pPr>
              <w:ind w:left="480"/>
              <w:spacing w:after="0" w:line="243" w:lineRule="exact"/>
              <w:rPr>
                <w:sz w:val="20"/>
                <w:szCs w:val="20"/>
                <w:color w:val="auto"/>
              </w:rPr>
            </w:pPr>
            <w:r>
              <w:rPr>
                <w:rFonts w:ascii="Times New Roman" w:cs="Times New Roman" w:eastAsia="Times New Roman" w:hAnsi="Times New Roman"/>
                <w:sz w:val="22"/>
                <w:szCs w:val="22"/>
                <w:color w:val="auto"/>
              </w:rPr>
              <w:t>Interest and other income</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57"/>
        </w:trPr>
        <w:tc>
          <w:tcPr>
            <w:tcW w:w="940" w:type="dxa"/>
            <w:vAlign w:val="bottom"/>
          </w:tcPr>
          <w:p>
            <w:pPr>
              <w:spacing w:after="0"/>
              <w:rPr>
                <w:sz w:val="22"/>
                <w:szCs w:val="22"/>
                <w:color w:val="auto"/>
              </w:rPr>
            </w:pPr>
          </w:p>
        </w:tc>
        <w:tc>
          <w:tcPr>
            <w:tcW w:w="70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Gain on sale of hotel properties</w:t>
            </w:r>
          </w:p>
        </w:tc>
        <w:tc>
          <w:tcPr>
            <w:tcW w:w="20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(122)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(7,118)</w:t>
            </w:r>
          </w:p>
        </w:tc>
      </w:tr>
      <w:tr>
        <w:trPr>
          <w:trHeight w:val="250"/>
        </w:trPr>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7060" w:type="dxa"/>
            <w:vAlign w:val="bottom"/>
            <w:tcBorders>
              <w:top w:val="single" w:sz="8" w:color="CCEEFF"/>
              <w:bottom w:val="single" w:sz="8" w:color="CCEEFF"/>
            </w:tcBorders>
            <w:shd w:val="clear" w:color="auto" w:fill="CCEEFF"/>
          </w:tcPr>
          <w:p>
            <w:pPr>
              <w:ind w:left="480"/>
              <w:spacing w:after="0" w:line="250" w:lineRule="exact"/>
              <w:rPr>
                <w:sz w:val="20"/>
                <w:szCs w:val="20"/>
                <w:color w:val="auto"/>
              </w:rPr>
            </w:pPr>
            <w:r>
              <w:rPr>
                <w:rFonts w:ascii="Times New Roman" w:cs="Times New Roman" w:eastAsia="Times New Roman" w:hAnsi="Times New Roman"/>
                <w:sz w:val="22"/>
                <w:szCs w:val="22"/>
                <w:color w:val="auto"/>
              </w:rPr>
              <w:t>Adjusted Hotel EBITDA</w:t>
            </w:r>
          </w:p>
        </w:tc>
        <w:tc>
          <w:tcPr>
            <w:tcW w:w="2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28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21,402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20,835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2"/>
        </w:trPr>
        <w:tc>
          <w:tcPr>
            <w:tcW w:w="94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CHATHAM LODGING TRUST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Guidance Net Income to FFO, Adjusted FFO,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EBITDA, EBITDAre, Adjusted EBITDA and Adjusted Hotel EBITDA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gridSpan w:val="6"/>
          </w:tcPr>
          <w:p>
            <w:pPr>
              <w:jc w:val="right"/>
              <w:ind w:right="880"/>
              <w:spacing w:after="0"/>
              <w:rPr>
                <w:sz w:val="20"/>
                <w:szCs w:val="20"/>
                <w:color w:val="auto"/>
              </w:rPr>
            </w:pPr>
            <w:r>
              <w:rPr>
                <w:rFonts w:ascii="Times New Roman" w:cs="Times New Roman" w:eastAsia="Times New Roman" w:hAnsi="Times New Roman"/>
                <w:sz w:val="22"/>
                <w:szCs w:val="22"/>
                <w:b w:val="1"/>
                <w:bCs w:val="1"/>
                <w:i w:val="1"/>
                <w:iCs w:val="1"/>
                <w:color w:val="auto"/>
              </w:rPr>
              <w:t>For the year ended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20" w:type="dxa"/>
            <w:vAlign w:val="bottom"/>
            <w:gridSpan w:val="6"/>
          </w:tcPr>
          <w:p>
            <w:pPr>
              <w:jc w:val="right"/>
              <w:ind w:right="840"/>
              <w:spacing w:after="0"/>
              <w:rPr>
                <w:sz w:val="20"/>
                <w:szCs w:val="20"/>
                <w:color w:val="auto"/>
              </w:rPr>
            </w:pPr>
            <w:r>
              <w:rPr>
                <w:rFonts w:ascii="Times New Roman" w:cs="Times New Roman" w:eastAsia="Times New Roman" w:hAnsi="Times New Roman"/>
                <w:sz w:val="22"/>
                <w:szCs w:val="22"/>
                <w:b w:val="1"/>
                <w:bCs w:val="1"/>
                <w:color w:val="auto"/>
              </w:rPr>
              <w:t>December 31,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right"/>
              <w:ind w:right="460"/>
              <w:spacing w:after="0" w:line="250" w:lineRule="exact"/>
              <w:rPr>
                <w:sz w:val="20"/>
                <w:szCs w:val="20"/>
                <w:color w:val="auto"/>
              </w:rPr>
            </w:pPr>
            <w:r>
              <w:rPr>
                <w:rFonts w:ascii="Times New Roman" w:cs="Times New Roman" w:eastAsia="Times New Roman" w:hAnsi="Times New Roman"/>
                <w:sz w:val="22"/>
                <w:szCs w:val="22"/>
                <w:b w:val="1"/>
                <w:bCs w:val="1"/>
                <w:color w:val="auto"/>
              </w:rPr>
              <w:t>Low-End</w:t>
            </w: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92"/>
              <w:spacing w:after="0" w:line="250" w:lineRule="exact"/>
              <w:rPr>
                <w:sz w:val="20"/>
                <w:szCs w:val="20"/>
                <w:color w:val="auto"/>
              </w:rPr>
            </w:pPr>
            <w:r>
              <w:rPr>
                <w:rFonts w:ascii="Times New Roman" w:cs="Times New Roman" w:eastAsia="Times New Roman" w:hAnsi="Times New Roman"/>
                <w:sz w:val="22"/>
                <w:szCs w:val="22"/>
                <w:b w:val="1"/>
                <w:bCs w:val="1"/>
                <w:color w:val="auto"/>
              </w:rPr>
              <w:t>High-End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Borders>
              <w:top w:val="single" w:sz="8" w:color="CCEEFF"/>
            </w:tcBorders>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Funds From Operations (“FFO”):</w:t>
            </w:r>
          </w:p>
        </w:tc>
        <w:tc>
          <w:tcPr>
            <w:tcW w:w="6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725</w:t>
            </w:r>
          </w:p>
        </w:tc>
        <w:tc>
          <w:tcPr>
            <w:tcW w:w="120" w:type="dxa"/>
            <w:vAlign w:val="bottom"/>
          </w:tcPr>
          <w:p>
            <w:pPr>
              <w:spacing w:after="0"/>
              <w:rPr>
                <w:sz w:val="21"/>
                <w:szCs w:val="21"/>
                <w:color w:val="auto"/>
              </w:rPr>
            </w:pPr>
          </w:p>
        </w:tc>
        <w:tc>
          <w:tcPr>
            <w:tcW w:w="2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Preferred dividends</w:t>
            </w: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(8,000)</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(8,000)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Net loss attributable to common shares and common units</w:t>
            </w:r>
          </w:p>
        </w:tc>
        <w:tc>
          <w:tcPr>
            <w:tcW w:w="6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(7,275)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(2,927)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Gain on sale of hotel properties</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2"/>
                <w:szCs w:val="22"/>
                <w:color w:val="auto"/>
              </w:rPr>
              <w:t>Depreciation of hotel properties owned</w:t>
            </w:r>
          </w:p>
        </w:tc>
        <w:tc>
          <w:tcPr>
            <w:tcW w:w="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59,262</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59,262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shd w:val="clear" w:color="auto" w:fill="CCEEFF"/>
          </w:tcPr>
          <w:p>
            <w:pPr>
              <w:ind w:left="320"/>
              <w:spacing w:after="0" w:line="237" w:lineRule="exact"/>
              <w:rPr>
                <w:sz w:val="20"/>
                <w:szCs w:val="20"/>
                <w:color w:val="auto"/>
              </w:rPr>
            </w:pPr>
            <w:r>
              <w:rPr>
                <w:rFonts w:ascii="Times New Roman" w:cs="Times New Roman" w:eastAsia="Times New Roman" w:hAnsi="Times New Roman"/>
                <w:sz w:val="22"/>
                <w:szCs w:val="22"/>
                <w:color w:val="auto"/>
              </w:rPr>
              <w:t>FFO attributable to common share and unit holders</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51,865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56,213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Share-based compensation</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6,000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Amortization of finance lease assets</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1,885</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1,885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2"/>
                <w:szCs w:val="22"/>
                <w:color w:val="auto"/>
              </w:rPr>
              <w:t>Other charges</w:t>
            </w:r>
          </w:p>
        </w:tc>
        <w:tc>
          <w:tcPr>
            <w:tcW w:w="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455</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320"/>
              <w:spacing w:after="0" w:line="250" w:lineRule="exact"/>
              <w:rPr>
                <w:sz w:val="20"/>
                <w:szCs w:val="20"/>
                <w:color w:val="auto"/>
              </w:rPr>
            </w:pPr>
            <w:r>
              <w:rPr>
                <w:rFonts w:ascii="Times New Roman" w:cs="Times New Roman" w:eastAsia="Times New Roman" w:hAnsi="Times New Roman"/>
                <w:sz w:val="22"/>
                <w:szCs w:val="22"/>
                <w:color w:val="auto"/>
              </w:rPr>
              <w:t>Adjusted FFO attributable to common share and unit holders</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60,205</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64,553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Weighted average number of common shares and units</w:t>
            </w: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22"/>
                <w:szCs w:val="22"/>
                <w:color w:val="auto"/>
              </w:rPr>
              <w:t>Diluted</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49,887,000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49,887,000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Adjusted FFO per diluted share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gridSpan w:val="6"/>
          </w:tcPr>
          <w:p>
            <w:pPr>
              <w:jc w:val="right"/>
              <w:ind w:right="880"/>
              <w:spacing w:after="0"/>
              <w:rPr>
                <w:sz w:val="20"/>
                <w:szCs w:val="20"/>
                <w:color w:val="auto"/>
              </w:rPr>
            </w:pPr>
            <w:r>
              <w:rPr>
                <w:rFonts w:ascii="Times New Roman" w:cs="Times New Roman" w:eastAsia="Times New Roman" w:hAnsi="Times New Roman"/>
                <w:sz w:val="22"/>
                <w:szCs w:val="22"/>
                <w:b w:val="1"/>
                <w:bCs w:val="1"/>
                <w:i w:val="1"/>
                <w:iCs w:val="1"/>
                <w:color w:val="auto"/>
              </w:rPr>
              <w:t>For the year ended</w:t>
            </w:r>
          </w:p>
        </w:tc>
      </w:tr>
      <w:tr>
        <w:trPr>
          <w:trHeight w:val="274"/>
        </w:trPr>
        <w:tc>
          <w:tcPr>
            <w:tcW w:w="2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20" w:type="dxa"/>
            <w:vAlign w:val="bottom"/>
            <w:gridSpan w:val="6"/>
          </w:tcPr>
          <w:p>
            <w:pPr>
              <w:jc w:val="right"/>
              <w:ind w:right="840"/>
              <w:spacing w:after="0"/>
              <w:rPr>
                <w:sz w:val="20"/>
                <w:szCs w:val="20"/>
                <w:color w:val="auto"/>
              </w:rPr>
            </w:pPr>
            <w:r>
              <w:rPr>
                <w:rFonts w:ascii="Times New Roman" w:cs="Times New Roman" w:eastAsia="Times New Roman" w:hAnsi="Times New Roman"/>
                <w:sz w:val="22"/>
                <w:szCs w:val="22"/>
                <w:b w:val="1"/>
                <w:bCs w:val="1"/>
                <w:color w:val="auto"/>
              </w:rPr>
              <w:t>December 31, 2026</w:t>
            </w:r>
          </w:p>
        </w:tc>
      </w:tr>
      <w:tr>
        <w:trPr>
          <w:trHeight w:val="250"/>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right"/>
              <w:ind w:right="460"/>
              <w:spacing w:after="0" w:line="250" w:lineRule="exact"/>
              <w:rPr>
                <w:sz w:val="20"/>
                <w:szCs w:val="20"/>
                <w:color w:val="auto"/>
              </w:rPr>
            </w:pPr>
            <w:r>
              <w:rPr>
                <w:rFonts w:ascii="Times New Roman" w:cs="Times New Roman" w:eastAsia="Times New Roman" w:hAnsi="Times New Roman"/>
                <w:sz w:val="22"/>
                <w:szCs w:val="22"/>
                <w:b w:val="1"/>
                <w:bCs w:val="1"/>
                <w:color w:val="auto"/>
              </w:rPr>
              <w:t>Low-End</w:t>
            </w: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92"/>
              <w:spacing w:after="0" w:line="250" w:lineRule="exact"/>
              <w:rPr>
                <w:sz w:val="20"/>
                <w:szCs w:val="20"/>
                <w:color w:val="auto"/>
              </w:rPr>
            </w:pPr>
            <w:r>
              <w:rPr>
                <w:rFonts w:ascii="Times New Roman" w:cs="Times New Roman" w:eastAsia="Times New Roman" w:hAnsi="Times New Roman"/>
                <w:sz w:val="22"/>
                <w:szCs w:val="22"/>
                <w:b w:val="1"/>
                <w:bCs w:val="1"/>
                <w:color w:val="auto"/>
              </w:rPr>
              <w:t>High-End</w:t>
            </w:r>
          </w:p>
        </w:tc>
        <w:tc>
          <w:tcPr>
            <w:tcW w:w="10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Earnings Before Interest, Taxes, Depreciation and Amortization</w:t>
            </w: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(“EBITDA”):</w:t>
            </w:r>
          </w:p>
        </w:tc>
        <w:tc>
          <w:tcPr>
            <w:tcW w:w="6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725</w:t>
            </w:r>
          </w:p>
        </w:tc>
        <w:tc>
          <w:tcPr>
            <w:tcW w:w="120" w:type="dxa"/>
            <w:vAlign w:val="bottom"/>
          </w:tcPr>
          <w:p>
            <w:pPr>
              <w:spacing w:after="0"/>
              <w:rPr>
                <w:sz w:val="21"/>
                <w:szCs w:val="21"/>
                <w:color w:val="auto"/>
              </w:rPr>
            </w:pPr>
          </w:p>
        </w:tc>
        <w:tc>
          <w:tcPr>
            <w:tcW w:w="2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5,073</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Interest expense, including amortization of deferred fees</w:t>
            </w: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26,800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26,800</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Depreciation and amortization</w:t>
            </w: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61,347</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61,347</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EBITDA</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88,934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93,282</w:t>
            </w:r>
          </w:p>
        </w:tc>
        <w:tc>
          <w:tcPr>
            <w:tcW w:w="1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Gain on sale of hotel properties</w:t>
            </w: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2"/>
                <w:szCs w:val="22"/>
                <w:color w:val="auto"/>
              </w:rPr>
              <w:t>(122)</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2"/>
                <w:szCs w:val="22"/>
                <w:color w:val="auto"/>
              </w:rPr>
              <w:t>(122)</w:t>
            </w:r>
          </w:p>
        </w:tc>
      </w:tr>
      <w:tr>
        <w:trPr>
          <w:trHeight w:val="237"/>
        </w:trPr>
        <w:tc>
          <w:tcPr>
            <w:tcW w:w="20" w:type="dxa"/>
            <w:vAlign w:val="bottom"/>
          </w:tcPr>
          <w:p>
            <w:pPr>
              <w:spacing w:after="0"/>
              <w:rPr>
                <w:sz w:val="20"/>
                <w:szCs w:val="20"/>
                <w:color w:val="auto"/>
              </w:rPr>
            </w:pPr>
          </w:p>
        </w:tc>
        <w:tc>
          <w:tcPr>
            <w:tcW w:w="6140" w:type="dxa"/>
            <w:vAlign w:val="bottom"/>
          </w:tcPr>
          <w:p>
            <w:pPr>
              <w:ind w:left="320"/>
              <w:spacing w:after="0" w:line="237" w:lineRule="exact"/>
              <w:rPr>
                <w:sz w:val="20"/>
                <w:szCs w:val="20"/>
                <w:color w:val="auto"/>
              </w:rPr>
            </w:pPr>
            <w:r>
              <w:rPr>
                <w:rFonts w:ascii="Times New Roman" w:cs="Times New Roman" w:eastAsia="Times New Roman" w:hAnsi="Times New Roman"/>
                <w:sz w:val="22"/>
                <w:szCs w:val="22"/>
                <w:color w:val="auto"/>
              </w:rPr>
              <w:t>EBITDAre</w:t>
            </w:r>
          </w:p>
        </w:tc>
        <w:tc>
          <w:tcPr>
            <w:tcW w:w="6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88,812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93,160</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Other charges</w:t>
            </w: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455</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455</w:t>
            </w:r>
          </w:p>
        </w:tc>
        <w:tc>
          <w:tcPr>
            <w:tcW w:w="100" w:type="dxa"/>
            <w:vAlign w:val="bottom"/>
            <w:shd w:val="clear" w:color="auto" w:fill="CCEEFF"/>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6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22"/>
                <w:szCs w:val="22"/>
                <w:color w:val="auto"/>
              </w:rPr>
              <w:t>Share-based compensation</w:t>
            </w:r>
          </w:p>
        </w:tc>
        <w:tc>
          <w:tcPr>
            <w:tcW w:w="6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6,000</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6,000</w:t>
            </w:r>
          </w:p>
        </w:tc>
        <w:tc>
          <w:tcPr>
            <w:tcW w:w="100" w:type="dxa"/>
            <w:vAlign w:val="bottom"/>
            <w:tcBorders>
              <w:bottom w:val="single" w:sz="8" w:color="CCEEFF"/>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320"/>
              <w:spacing w:after="0" w:line="250" w:lineRule="exact"/>
              <w:rPr>
                <w:sz w:val="20"/>
                <w:szCs w:val="20"/>
                <w:color w:val="auto"/>
              </w:rPr>
            </w:pPr>
            <w:r>
              <w:rPr>
                <w:rFonts w:ascii="Times New Roman" w:cs="Times New Roman" w:eastAsia="Times New Roman" w:hAnsi="Times New Roman"/>
                <w:sz w:val="22"/>
                <w:szCs w:val="22"/>
                <w:color w:val="auto"/>
              </w:rPr>
              <w:t>Adjusted EBITDA</w:t>
            </w: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95,267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32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99,615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60" w:type="dxa"/>
            <w:vAlign w:val="bottom"/>
            <w:gridSpan w:val="6"/>
          </w:tcPr>
          <w:p>
            <w:pPr>
              <w:jc w:val="right"/>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For the year ended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60" w:type="dxa"/>
            <w:vAlign w:val="bottom"/>
            <w:gridSpan w:val="6"/>
          </w:tcPr>
          <w:p>
            <w:pPr>
              <w:jc w:val="right"/>
              <w:ind w:right="1080"/>
              <w:spacing w:after="0"/>
              <w:rPr>
                <w:sz w:val="20"/>
                <w:szCs w:val="20"/>
                <w:color w:val="auto"/>
              </w:rPr>
            </w:pPr>
            <w:r>
              <w:rPr>
                <w:rFonts w:ascii="Times New Roman" w:cs="Times New Roman" w:eastAsia="Times New Roman" w:hAnsi="Times New Roman"/>
                <w:sz w:val="22"/>
                <w:szCs w:val="22"/>
                <w:b w:val="1"/>
                <w:bCs w:val="1"/>
                <w:color w:val="auto"/>
              </w:rPr>
              <w:t>December 31,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2"/>
          </w:tcPr>
          <w:p>
            <w:pPr>
              <w:jc w:val="right"/>
              <w:ind w:right="600"/>
              <w:spacing w:after="0" w:line="250" w:lineRule="exact"/>
              <w:rPr>
                <w:sz w:val="20"/>
                <w:szCs w:val="20"/>
                <w:color w:val="auto"/>
              </w:rPr>
            </w:pPr>
            <w:r>
              <w:rPr>
                <w:rFonts w:ascii="Times New Roman" w:cs="Times New Roman" w:eastAsia="Times New Roman" w:hAnsi="Times New Roman"/>
                <w:sz w:val="22"/>
                <w:szCs w:val="22"/>
                <w:b w:val="1"/>
                <w:bCs w:val="1"/>
                <w:color w:val="auto"/>
              </w:rPr>
              <w:t>Low-End</w:t>
            </w:r>
          </w:p>
        </w:tc>
        <w:tc>
          <w:tcPr>
            <w:tcW w:w="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2"/>
                <w:szCs w:val="22"/>
                <w:b w:val="1"/>
                <w:bCs w:val="1"/>
                <w:color w:val="auto"/>
              </w:rPr>
              <w:t>High-End</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620" w:type="dxa"/>
            <w:vAlign w:val="bottom"/>
            <w:gridSpan w:val="2"/>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725</w:t>
            </w:r>
          </w:p>
        </w:tc>
        <w:tc>
          <w:tcPr>
            <w:tcW w:w="2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5,073</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w:t>
            </w:r>
          </w:p>
        </w:tc>
        <w:tc>
          <w:tcPr>
            <w:tcW w:w="5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Interest expense, including amortization of deferred fees</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26,800</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26,800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Depreciation and amortization</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61,347</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61,347</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Corporate general and administrative</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17,300</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17,300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Other charges</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455</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455</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Less:</w:t>
            </w:r>
          </w:p>
        </w:tc>
        <w:tc>
          <w:tcPr>
            <w:tcW w:w="54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Interest and other income</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Gain on sale of hotel properties</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Adjusted Hotel EBITDA</w:t>
            </w:r>
          </w:p>
        </w:tc>
        <w:tc>
          <w:tcPr>
            <w:tcW w:w="6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106,467</w:t>
            </w:r>
          </w:p>
        </w:tc>
        <w:tc>
          <w:tcPr>
            <w:tcW w:w="2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110,815</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2"/>
                <w:szCs w:val="22"/>
                <w:color w:val="auto"/>
              </w:rPr>
              <w:t>Total revenue</w:t>
            </w:r>
          </w:p>
        </w:tc>
        <w:tc>
          <w:tcPr>
            <w:tcW w:w="620" w:type="dxa"/>
            <w:vAlign w:val="bottom"/>
            <w:gridSpan w:val="2"/>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308,808</w:t>
            </w:r>
          </w:p>
        </w:tc>
        <w:tc>
          <w:tcPr>
            <w:tcW w:w="2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315,023</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Reimbursable costs from related parties</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(1,100)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5420" w:type="dxa"/>
            <w:vAlign w:val="bottom"/>
            <w:tcBorders>
              <w:top w:val="single" w:sz="8" w:color="CCEEFF"/>
            </w:tcBorders>
            <w:shd w:val="clear" w:color="auto" w:fill="CCEEFF"/>
          </w:tcPr>
          <w:p>
            <w:pPr>
              <w:ind w:left="180"/>
              <w:spacing w:after="0" w:line="237" w:lineRule="exact"/>
              <w:rPr>
                <w:sz w:val="20"/>
                <w:szCs w:val="20"/>
                <w:color w:val="auto"/>
              </w:rPr>
            </w:pPr>
            <w:r>
              <w:rPr>
                <w:rFonts w:ascii="Times New Roman" w:cs="Times New Roman" w:eastAsia="Times New Roman" w:hAnsi="Times New Roman"/>
                <w:sz w:val="22"/>
                <w:szCs w:val="22"/>
                <w:color w:val="auto"/>
              </w:rPr>
              <w:t>Hotel revenue</w:t>
            </w:r>
          </w:p>
        </w:tc>
        <w:tc>
          <w:tcPr>
            <w:tcW w:w="3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307,708</w:t>
            </w: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auto"/>
            </w:tcBorders>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313,923</w:t>
            </w:r>
          </w:p>
        </w:tc>
        <w:tc>
          <w:tcPr>
            <w:tcW w:w="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Hotel EBITDA margin</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34.6%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35.3%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20"/>
      </w:cols>
      <w:pgMar w:left="880" w:top="59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2026-05-07T08:47:10Z</dcterms:created>
  <dcterms:modified xsi:type="dcterms:W3CDTF">2026-05-07T08:47:10Z</dcterms:modified>
</cp:coreProperties>
</file>