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dt20260630c_10q.htm"/>
      <w:bookmarkStart w:id="1" w:name="kscldt20260630c_10q"/>
      <w:bookmarkEnd w:id="0"/>
      <w:bookmarkEnd w:id="1"/>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720" w:right="0" w:hanging="72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90"/>
        <w:gridCol w:w="9875"/>
      </w:tblGrid>
      <w:tr>
        <w:trPr/>
        <w:tc>
          <w:tcPr>
            <w:tcW w:w="290" w:type="dxa"/>
            <w:tcBorders/>
            <w:vAlign w:val="center"/>
          </w:tcPr>
          <w:p>
            <w:pPr>
              <w:pStyle w:val="TableContents"/>
              <w:bidi w:val="0"/>
              <w:spacing w:before="0" w:after="0"/>
              <w:ind w:left="0" w:right="0" w:hanging="0"/>
              <w:jc w:val="left"/>
              <w:rPr/>
            </w:pPr>
            <w:r>
              <w:rPr/>
              <w:t xml:space="preserve">☒ </w:t>
            </w:r>
          </w:p>
        </w:tc>
        <w:tc>
          <w:tcPr>
            <w:tcW w:w="9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0"/>
              <w:ind w:left="0" w:right="0" w:hanging="0"/>
              <w:jc w:val="left"/>
              <w:rPr/>
            </w:pPr>
            <w:r>
              <w:rPr/>
              <w:t xml:space="preserve">☐ </w:t>
            </w:r>
          </w:p>
        </w:tc>
        <w:tc>
          <w:tcPr>
            <w:tcW w:w="9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001-34693</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CHATHAM LODGING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5285"/>
        <w:gridCol w:w="665"/>
        <w:gridCol w:w="3005"/>
      </w:tblGrid>
      <w:tr>
        <w:trPr/>
        <w:tc>
          <w:tcPr>
            <w:tcW w:w="52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6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27-1200777</w:t>
            </w:r>
          </w:p>
        </w:tc>
      </w:tr>
      <w:tr>
        <w:trPr/>
        <w:tc>
          <w:tcPr>
            <w:tcW w:w="52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 Incorporation or Organization)</w:t>
            </w:r>
          </w:p>
        </w:tc>
        <w:tc>
          <w:tcPr>
            <w:tcW w:w="6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No.)</w:t>
            </w:r>
          </w:p>
        </w:tc>
      </w:tr>
      <w:tr>
        <w:trPr/>
        <w:tc>
          <w:tcPr>
            <w:tcW w:w="528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 Lakeview Avenue, Suite 200</w:t>
            </w:r>
          </w:p>
        </w:tc>
        <w:tc>
          <w:tcPr>
            <w:tcW w:w="6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West Palm Beach</w:t>
            </w:r>
          </w:p>
        </w:tc>
        <w:tc>
          <w:tcPr>
            <w:tcW w:w="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Florida</w:t>
            </w:r>
          </w:p>
        </w:tc>
        <w:tc>
          <w:tcPr>
            <w:tcW w:w="30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33401</w:t>
            </w:r>
          </w:p>
        </w:tc>
      </w:tr>
      <w:tr>
        <w:trPr/>
        <w:tc>
          <w:tcPr>
            <w:tcW w:w="52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(561) 802-4477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65"/>
        <w:gridCol w:w="60"/>
        <w:gridCol w:w="1590"/>
        <w:gridCol w:w="60"/>
        <w:gridCol w:w="3830"/>
      </w:tblGrid>
      <w:tr>
        <w:trPr/>
        <w:tc>
          <w:tcPr>
            <w:tcW w:w="4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8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46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of Beneficial Interest, $0.01 par value</w:t>
            </w:r>
          </w:p>
        </w:tc>
        <w:tc>
          <w:tcPr>
            <w:tcW w:w="60" w:type="dxa"/>
            <w:tcBorders/>
            <w:tcMar>
              <w:bottom w:w="0" w:type="dxa"/>
            </w:tcMar>
            <w:vAlign w:val="center"/>
          </w:tcPr>
          <w:p>
            <w:pPr>
              <w:pStyle w:val="TableContents"/>
              <w:bidi w:val="0"/>
              <w:spacing w:before="0" w:after="283"/>
              <w:jc w:val="left"/>
              <w:rPr/>
            </w:pPr>
            <w:r>
              <w:rPr/>
              <w:t> </w:t>
            </w:r>
          </w:p>
        </w:tc>
        <w:tc>
          <w:tcPr>
            <w:tcW w:w="159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CLDT</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New York Stock Exchange</w:t>
            </w:r>
          </w:p>
        </w:tc>
      </w:tr>
      <w:tr>
        <w:trPr/>
        <w:tc>
          <w:tcPr>
            <w:tcW w:w="46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6.625% Series A Cumulative Redeemable Preferred Shares</w:t>
            </w:r>
          </w:p>
        </w:tc>
        <w:tc>
          <w:tcPr>
            <w:tcW w:w="60" w:type="dxa"/>
            <w:tcBorders/>
            <w:tcMar>
              <w:bottom w:w="0" w:type="dxa"/>
            </w:tcMar>
            <w:vAlign w:val="center"/>
          </w:tcPr>
          <w:p>
            <w:pPr>
              <w:pStyle w:val="TableContents"/>
              <w:bidi w:val="0"/>
              <w:spacing w:before="0" w:after="283"/>
              <w:jc w:val="left"/>
              <w:rPr/>
            </w:pPr>
            <w:r>
              <w:rPr/>
              <w:t> </w:t>
            </w:r>
          </w:p>
        </w:tc>
        <w:tc>
          <w:tcPr>
            <w:tcW w:w="159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CLDT-PA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2120"/>
        <w:gridCol w:w="230"/>
        <w:gridCol w:w="2225"/>
        <w:gridCol w:w="230"/>
      </w:tblGrid>
      <w:tr>
        <w:trPr/>
        <w:tc>
          <w:tcPr>
            <w:tcW w:w="2120"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pPr>
            <w:r>
              <w:rPr/>
              <w:t>Accelerated filer</w:t>
            </w:r>
          </w:p>
        </w:tc>
        <w:tc>
          <w:tcPr>
            <w:tcW w:w="230" w:type="dxa"/>
            <w:tcBorders/>
            <w:vAlign w:val="center"/>
          </w:tcPr>
          <w:p>
            <w:pPr>
              <w:pStyle w:val="TableContents"/>
              <w:bidi w:val="0"/>
              <w:spacing w:before="0" w:after="283"/>
              <w:jc w:val="left"/>
              <w:rPr/>
            </w:pPr>
            <w:r>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5195"/>
        <w:gridCol w:w="2555"/>
      </w:tblGrid>
      <w:tr>
        <w:trPr/>
        <w:tc>
          <w:tcPr>
            <w:tcW w:w="51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Class</w:t>
            </w:r>
          </w:p>
        </w:tc>
        <w:tc>
          <w:tcPr>
            <w:tcW w:w="255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Outstanding at August 4, 2026</w:t>
            </w:r>
          </w:p>
        </w:tc>
      </w:tr>
      <w:tr>
        <w:trPr/>
        <w:tc>
          <w:tcPr>
            <w:tcW w:w="5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Shares of Beneficial Interest, $0.01 par value per share</w:t>
            </w:r>
          </w:p>
        </w:tc>
        <w:tc>
          <w:tcPr>
            <w:tcW w:w="25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46,565,614</w:t>
            </w:r>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710"/>
        <w:gridCol w:w="7325"/>
        <w:gridCol w:w="440"/>
      </w:tblGrid>
      <w:tr>
        <w:trPr/>
        <w:tc>
          <w:tcPr>
            <w:tcW w:w="71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1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u w:val="single"/>
                </w:rPr>
                <w:t>PART</w:t>
              </w:r>
            </w:hyperlink>
            <w:hyperlink w:anchor="part1">
              <w:r>
                <w:rPr>
                  <w:rStyle w:val="InternetLink"/>
                  <w:rFonts w:ascii="Times New Roman" w:hAnsi="Times New Roman"/>
                  <w:caps w:val="false"/>
                  <w:smallCaps w:val="false"/>
                  <w:sz w:val="20"/>
                  <w:u w:val="single"/>
                </w:rPr>
                <w:t> </w:t>
              </w:r>
            </w:hyperlink>
            <w:hyperlink w:anchor="part1">
              <w:r>
                <w:rPr>
                  <w:rStyle w:val="InternetLink"/>
                  <w:rFonts w:ascii="Times New Roman" w:hAnsi="Times New Roman"/>
                  <w:b/>
                  <w:caps w:val="false"/>
                  <w:smallCaps w:val="false"/>
                  <w:sz w:val="20"/>
                  <w:u w:val="single"/>
                </w:rPr>
                <w:t>I. FINANCIAL INFORMATION</w:t>
              </w:r>
            </w:hyperlink>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325"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u w:val="single"/>
                </w:rPr>
                <w:t>Financial Statements.</w:t>
              </w:r>
            </w:hyperlink>
          </w:p>
        </w:tc>
        <w:tc>
          <w:tcPr>
            <w:tcW w:w="440"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325"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19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325"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u w:val="single"/>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32</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325"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32</w:t>
              </w:r>
            </w:hyperlink>
          </w:p>
        </w:tc>
      </w:tr>
      <w:tr>
        <w:trPr/>
        <w:tc>
          <w:tcPr>
            <w:tcW w:w="71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u w:val="single"/>
                </w:rPr>
                <w:t>PART II. OTHER INFORMATION</w:t>
              </w:r>
            </w:hyperlink>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32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32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325"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325"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325"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Mine Safety Disclosures.</w:t>
              </w:r>
            </w:hyperlink>
          </w:p>
        </w:tc>
        <w:tc>
          <w:tcPr>
            <w:tcW w:w="44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325"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325"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34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instmt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897"/>
        <w:gridCol w:w="60"/>
        <w:gridCol w:w="125"/>
        <w:gridCol w:w="845"/>
        <w:gridCol w:w="80"/>
        <w:gridCol w:w="60"/>
        <w:gridCol w:w="136"/>
        <w:gridCol w:w="921"/>
        <w:gridCol w:w="81"/>
      </w:tblGrid>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hotel properties,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1,106,890</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hotel properties under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24,435</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8,203</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16,912</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receivables (net of allowance for doubtful accounts of $296 and $261,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2,831</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7,384</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3,726</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1,234,121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1,170,381</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debt,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141,475</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Unsecured term loan,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197,438</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 (including $947 and $234 due to related parties,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26,648</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20,067</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472,268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392,332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shares, $0.01 par value, 100,000,000 shares authorized; 4,800,000 and 4,800,000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$0.01 par value, 500,000,000 shares authorized; 46,565,171 and 47,708,587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1,039,804</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(299,527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7"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721,689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740,802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in Operating Partnership</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37,247</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761,853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778,049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1,234,121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1,170,381</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 and per share data)</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115" w:type="dxa"/>
        <w:jc w:val="left"/>
        <w:tblInd w:w="0" w:type="dxa"/>
        <w:tblLayout w:type="fixed"/>
        <w:tblCellMar>
          <w:top w:w="0" w:type="dxa"/>
          <w:left w:w="0" w:type="dxa"/>
          <w:bottom w:w="0" w:type="dxa"/>
          <w:right w:w="0" w:type="dxa"/>
        </w:tblCellMar>
      </w:tblPr>
      <w:tblGrid>
        <w:gridCol w:w="5255"/>
        <w:gridCol w:w="60"/>
        <w:gridCol w:w="125"/>
        <w:gridCol w:w="950"/>
        <w:gridCol w:w="80"/>
        <w:gridCol w:w="60"/>
        <w:gridCol w:w="125"/>
        <w:gridCol w:w="950"/>
        <w:gridCol w:w="80"/>
        <w:gridCol w:w="60"/>
        <w:gridCol w:w="125"/>
        <w:gridCol w:w="950"/>
        <w:gridCol w:w="80"/>
        <w:gridCol w:w="60"/>
        <w:gridCol w:w="125"/>
        <w:gridCol w:w="950"/>
        <w:gridCol w:w="80"/>
      </w:tblGrid>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135,814</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9,066</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Reimbursable costs from related parties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29,786</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hotel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14,036</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marketing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11,866</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promotions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5,964</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and maintenance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fees paid to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4,975</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hotel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84,800</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30,426</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taxes, ground rent and 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8,599</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Reimbursable costs from related parties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before 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20,162</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deferred fees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Chatham Lodging Trust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dividends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per common share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(Note 10)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per common share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(Note 10)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46,634,258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48,998,696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46,941,191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48,979,914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47,913,056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49,565,693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46,941,191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49,985,844</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Distributions declared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Equity</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 and per share data)</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1565"/>
        <w:gridCol w:w="60"/>
        <w:gridCol w:w="60"/>
        <w:gridCol w:w="740"/>
        <w:gridCol w:w="60"/>
        <w:gridCol w:w="60"/>
        <w:gridCol w:w="170"/>
        <w:gridCol w:w="405"/>
        <w:gridCol w:w="60"/>
        <w:gridCol w:w="60"/>
        <w:gridCol w:w="60"/>
        <w:gridCol w:w="830"/>
        <w:gridCol w:w="80"/>
        <w:gridCol w:w="60"/>
        <w:gridCol w:w="158"/>
        <w:gridCol w:w="417"/>
        <w:gridCol w:w="80"/>
        <w:gridCol w:w="60"/>
        <w:gridCol w:w="110"/>
        <w:gridCol w:w="740"/>
        <w:gridCol w:w="80"/>
        <w:gridCol w:w="60"/>
        <w:gridCol w:w="132"/>
        <w:gridCol w:w="803"/>
        <w:gridCol w:w="80"/>
        <w:gridCol w:w="60"/>
        <w:gridCol w:w="144"/>
        <w:gridCol w:w="801"/>
        <w:gridCol w:w="80"/>
        <w:gridCol w:w="60"/>
        <w:gridCol w:w="190"/>
        <w:gridCol w:w="895"/>
        <w:gridCol w:w="80"/>
        <w:gridCol w:w="60"/>
        <w:gridCol w:w="114"/>
        <w:gridCol w:w="633"/>
        <w:gridCol w:w="98"/>
      </w:tblGrid>
      <w:tr>
        <w:trPr/>
        <w:tc>
          <w:tcPr>
            <w:tcW w:w="10107" w:type="dxa"/>
            <w:gridSpan w:val="3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 2025 and 2026</w:t>
            </w:r>
          </w:p>
        </w:tc>
        <w:tc>
          <w:tcPr>
            <w:tcW w:w="98"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Noncontrolling</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center"/>
              <w:rPr/>
            </w:pPr>
            <w:r>
              <w:rPr>
                <w:rStyle w:val="Emphasis"/>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 in</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center"/>
              <w:rPr/>
            </w:pPr>
            <w:r>
              <w:rPr>
                <w:rStyle w:val="Emphasis"/>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95"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Preferred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Shares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 - In</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Shareholders’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Operating</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center"/>
              <w:rPr/>
            </w:pPr>
            <w:r>
              <w:rPr>
                <w:rStyle w:val="Emphasis"/>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Partnership</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 Equity</w:t>
            </w:r>
          </w:p>
        </w:tc>
        <w:tc>
          <w:tcPr>
            <w:tcW w:w="98"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April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48,982,638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1,048,151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(293,990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754,699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788,880</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shares, net of offering costs of $0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LTIP units to 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33,396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pPr>
            <w:r>
              <w:rPr/>
              <w:t>—</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Repurchase of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(20,480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1,438</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on common shares ($0.09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(4,413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(4,413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(4,413</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Distributions declared on LTIP units ($0.09 per unit)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1"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w:t>
            </w:r>
          </w:p>
        </w:tc>
        <w:tc>
          <w:tcPr>
            <w:tcW w:w="9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accrued on preferred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9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4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5,499</w:t>
            </w:r>
          </w:p>
        </w:tc>
        <w:tc>
          <w:tcPr>
            <w:tcW w:w="98"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48,997,996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1,048,566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(295,014</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754,090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34,879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788,969</w:t>
            </w:r>
          </w:p>
        </w:tc>
        <w:tc>
          <w:tcPr>
            <w:tcW w:w="98"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April 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46,875,361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1,032,911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(310,507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722,921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38,938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761,859</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shares, net of offering costs of $0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Repurchases of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(311,745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(2,828</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1,396</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 on common shares ($0.10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(4,659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(4,659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(4,659</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declared on LTIP units ($0.10 per unit)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(398</w:t>
            </w:r>
          </w:p>
        </w:tc>
        <w:tc>
          <w:tcPr>
            <w:tcW w:w="9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accrued on preferred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9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4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8,455</w:t>
            </w:r>
          </w:p>
        </w:tc>
        <w:tc>
          <w:tcPr>
            <w:tcW w:w="98"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46,565,171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1,030,114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(308,939</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721,689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40,164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761,853</w:t>
            </w:r>
          </w:p>
        </w:tc>
        <w:tc>
          <w:tcPr>
            <w:tcW w:w="98"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586"/>
        <w:gridCol w:w="60"/>
        <w:gridCol w:w="60"/>
        <w:gridCol w:w="740"/>
        <w:gridCol w:w="60"/>
        <w:gridCol w:w="60"/>
        <w:gridCol w:w="170"/>
        <w:gridCol w:w="405"/>
        <w:gridCol w:w="60"/>
        <w:gridCol w:w="60"/>
        <w:gridCol w:w="60"/>
        <w:gridCol w:w="830"/>
        <w:gridCol w:w="80"/>
        <w:gridCol w:w="60"/>
        <w:gridCol w:w="158"/>
        <w:gridCol w:w="417"/>
        <w:gridCol w:w="80"/>
        <w:gridCol w:w="60"/>
        <w:gridCol w:w="110"/>
        <w:gridCol w:w="740"/>
        <w:gridCol w:w="80"/>
        <w:gridCol w:w="60"/>
        <w:gridCol w:w="132"/>
        <w:gridCol w:w="803"/>
        <w:gridCol w:w="80"/>
        <w:gridCol w:w="60"/>
        <w:gridCol w:w="144"/>
        <w:gridCol w:w="800"/>
        <w:gridCol w:w="80"/>
        <w:gridCol w:w="60"/>
        <w:gridCol w:w="190"/>
        <w:gridCol w:w="895"/>
        <w:gridCol w:w="80"/>
        <w:gridCol w:w="60"/>
        <w:gridCol w:w="114"/>
        <w:gridCol w:w="629"/>
        <w:gridCol w:w="82"/>
      </w:tblGrid>
      <w:tr>
        <w:trPr/>
        <w:tc>
          <w:tcPr>
            <w:tcW w:w="10123" w:type="dxa"/>
            <w:gridSpan w:val="3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 2025 and 2026</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Noncontrolling</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center"/>
              <w:rPr/>
            </w:pPr>
            <w:r>
              <w:rPr>
                <w:rStyle w:val="Emphasis"/>
              </w:rPr>
              <w:t> </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417"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 in</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center"/>
              <w:rPr/>
            </w:pPr>
            <w:r>
              <w:rPr>
                <w:rStyle w:val="Emphasis"/>
              </w:rPr>
              <w:t> </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95"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Preferred 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 - In</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Shareholders’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Operating</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center"/>
              <w:rPr/>
            </w:pPr>
            <w:r>
              <w:rPr>
                <w:rStyle w:val="Emphasis"/>
              </w:rPr>
              <w:t> </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Partnership</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 Equity</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48,912,293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1,046,812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(289,130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758,219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791,997</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shares pursuant to Equity Incentive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61,551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shares, net of offering costs of $0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Conversion of LTIP units to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time-based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Repurchases of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w:t>
            </w:r>
          </w:p>
        </w:tc>
        <w:tc>
          <w:tcPr>
            <w:tcW w:w="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2,888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 on common shares ($0.18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(8,820</w:t>
            </w:r>
          </w:p>
        </w:tc>
        <w:tc>
          <w:tcPr>
            <w:tcW w:w="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Distributions declared on LTIP units ($0.18 per unit)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p>
        </w:tc>
        <w:tc>
          <w:tcPr>
            <w:tcW w:w="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Forfeited distributions declared on LTIP 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accrued on preferred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(3,975</w:t>
            </w:r>
          </w:p>
        </w:tc>
        <w:tc>
          <w:tcPr>
            <w:tcW w:w="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Reallocation of noncontrolling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7"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6,911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6,911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7,017</w:t>
            </w:r>
          </w:p>
        </w:tc>
        <w:tc>
          <w:tcPr>
            <w:tcW w:w="82"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48,997,996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1,048,566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(295,014</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754,090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34,879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788,969</w:t>
            </w:r>
          </w:p>
        </w:tc>
        <w:tc>
          <w:tcPr>
            <w:tcW w:w="82"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629"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January 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47,708,587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1,039,804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(299,527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740,802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778,049</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shares pursuant to Equity Incentive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61,699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shares, net of offering costs of $0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time-based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8,433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Repurchases of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(1,216,672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(9,464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(9,476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(9,476</w:t>
            </w:r>
          </w:p>
        </w:tc>
        <w:tc>
          <w:tcPr>
            <w:tcW w:w="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2,821</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 on common shares ($0.20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(9,342</w:t>
            </w:r>
          </w:p>
        </w:tc>
        <w:tc>
          <w:tcPr>
            <w:tcW w:w="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Distributions declared on LTIP units ($0.20 per unit)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(796</w:t>
            </w:r>
          </w:p>
        </w:tc>
        <w:tc>
          <w:tcPr>
            <w:tcW w:w="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Forfeited distributions declared on LTIP 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accrued on preferred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pPr>
            <w:r>
              <w:rPr/>
              <w:t> </w:t>
            </w:r>
          </w:p>
        </w:tc>
        <w:tc>
          <w:tcPr>
            <w:tcW w:w="417"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8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(3,975</w:t>
            </w:r>
          </w:p>
        </w:tc>
        <w:tc>
          <w:tcPr>
            <w:tcW w:w="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Reallocation of noncontrolling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pPr>
            <w:r>
              <w:rPr/>
              <w:t> </w:t>
            </w:r>
          </w:p>
        </w:tc>
        <w:tc>
          <w:tcPr>
            <w:tcW w:w="417"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803"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29" w:type="dxa"/>
            <w:tcBorders/>
            <w:shd w:fill="FFFFFF" w:val="clear"/>
            <w:tcMar>
              <w:bottom w:w="0" w:type="dxa"/>
            </w:tcMar>
            <w:vAlign w:val="center"/>
          </w:tcPr>
          <w:p>
            <w:pPr>
              <w:pStyle w:val="TableContents"/>
              <w:bidi w:val="0"/>
              <w:spacing w:before="0" w:after="283"/>
              <w:ind w:left="0" w:right="0" w:hanging="0"/>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7"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3,908</w:t>
            </w:r>
          </w:p>
        </w:tc>
        <w:tc>
          <w:tcPr>
            <w:tcW w:w="82"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4,800,000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46,565,171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1,030,114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(308,939</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721,689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40,164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761,853</w:t>
            </w:r>
          </w:p>
        </w:tc>
        <w:tc>
          <w:tcPr>
            <w:tcW w:w="82"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xml:space="preserve">  </w:t>
      </w:r>
    </w:p>
    <w:tbl>
      <w:tblPr>
        <w:tblW w:w="8862" w:type="dxa"/>
        <w:jc w:val="left"/>
        <w:tblInd w:w="0" w:type="dxa"/>
        <w:tblLayout w:type="fixed"/>
        <w:tblCellMar>
          <w:top w:w="0" w:type="dxa"/>
          <w:left w:w="0" w:type="dxa"/>
          <w:bottom w:w="0" w:type="dxa"/>
          <w:right w:w="0" w:type="dxa"/>
        </w:tblCellMar>
      </w:tblPr>
      <w:tblGrid>
        <w:gridCol w:w="6620"/>
        <w:gridCol w:w="60"/>
        <w:gridCol w:w="146"/>
        <w:gridCol w:w="885"/>
        <w:gridCol w:w="93"/>
        <w:gridCol w:w="70"/>
        <w:gridCol w:w="146"/>
        <w:gridCol w:w="762"/>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investment in hotel properties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30,385</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franchise fees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fees included in interest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receivables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(4,847</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5,671</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38,940</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Improvements and additions to hotel properties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(13,397</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Acquisition of hotel properties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(92,458</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hotel properties,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(105,855</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on revolving credit facility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on revolving credit facility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mortgage debt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pPr>
            <w:r>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90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shares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In-substance repurchase of vested common shares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Repurchases of common shares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(9,476</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Distributions-common shares/units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(9,528</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Distributions-preferred shares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52,006</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(14,909</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32,638</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17,729</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11,488</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interest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Supplemental disclosure of non-cash investing and financing information (dollars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issued 61,699 common shares to its independent trustees pursuant to the Company’s Equity Incentive Plan as compensation for services performed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January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issued 61,551 common shares to its independent trustees pursuant to the Company’s Equity Incentive Plan as compensation for services performed in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accrued distributions payable of $7,106.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Company had accrued distributions payable of $6,670.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Accrued share-based compensation of $214 and $259 is included in accounts payable and accrued expenses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Accrued capital improvements of $1,120 and $609 are included in accounts payable and accrued expenses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330" w:type="dxa"/>
        <w:jc w:val="left"/>
        <w:tblInd w:w="0" w:type="dxa"/>
        <w:tblLayout w:type="fixed"/>
        <w:tblCellMar>
          <w:top w:w="0" w:type="dxa"/>
          <w:left w:w="0" w:type="dxa"/>
          <w:bottom w:w="0" w:type="dxa"/>
          <w:right w:w="0" w:type="dxa"/>
        </w:tblCellMar>
      </w:tblPr>
      <w:tblGrid>
        <w:gridCol w:w="170"/>
        <w:gridCol w:w="11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11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Chatham Lodging Trust (“we,” “us” or the “Company”) was formed as a Maryland real estate investment trust on </w:t>
      </w:r>
      <w:r>
        <w:rPr>
          <w:rStyle w:val="Emphasis"/>
          <w:rFonts w:ascii="Times New Roman" w:hAnsi="Times New Roman"/>
          <w:caps w:val="false"/>
          <w:smallCaps w:val="false"/>
          <w:sz w:val="20"/>
        </w:rPr>
        <w:t>October 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2009.</w:t>
      </w:r>
      <w:r>
        <w:rPr>
          <w:rFonts w:ascii="Times New Roman" w:hAnsi="Times New Roman"/>
          <w:caps w:val="false"/>
          <w:smallCaps w:val="false"/>
          <w:sz w:val="20"/>
        </w:rPr>
        <w:t xml:space="preserve"> The Company is internally managed and invests primarily in upscale extended-stay and premium-branded select-service hotels. The Company has elected to be treated as a real estate investment trust for federal income tax purposes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net proceeds from our share offerings are contributed to Chatham Lodging, L.P., our operating partnership (the “Operating Partnership”), in exchange for partnership interests. Substantially all of the Company’s assets are held by, and all operations are conducted through, the Operating Partnership. The Company is the sole general partner of the Operating Partnership and owns 100% of the common units of limited partnership interest in the Operating Partnership ("common units"). Certain of the Company’s executive officers hold vested and unvested long-term incentive plan units in the Operating Partnership ("LTIP units"), which are presented as non-controlling interests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owned 39 hotels with an aggregate of 5,610 rooms located in 18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qualify as a REIT, the Company cannot operate the hotels. Therefore, the Operating Partnership and its subsidiaries lease the Company's hotels to taxable REIT subsidiary lessees (“TRS Lessees”), which are wholly owned by the Company’s taxable REIT subsidiary (“TRS”) holding company. Each hotel is leased to a TRS Lessee under a percentage lease that provides for rental payments equal to the greater of (i) a fixed base rent amount or (ii) a percentage rent based on hotel revenue. Lease revenue from each TRS Lessee is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TRS Lessees have entered into management agreements with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management company that provides day-to-day management for the hotels.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Island Hospitality Management, LLC (“IHM”), which is 100% owned by Jeffrey H. Fisher, the Company's Chairman, President and Chief Executive Officer, managed all of the Company’s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accompanying unaudited interim consolidated financial statements and related notes have been prepared in accordance with U.S. generally accepted accounting principles (“GAAP”) and in conformity with the rules and regulations of the Securities and Exchange Commission (“SEC”) applicable to interim financial information. These unaudited consolidated financial statements, in the opinion of management, include all adjustments consisting of normal, recurring adjustments which are considered necessary for a fair statement of the consolidated balance sheets, consolidated statements of operations, consolidated statements of equity, and consolidated statements of cash flows for the periods presented.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full year performance due to seasonal and other factors, including the timing of the acquisition or sale of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consolidated financial statements include all of the accounts of the Company, the Operating Partnership (a variable interest entity) and its wholly owned subsidiaries. All intercompany balances and transactions are eliminated in consolidation. The accompanying unaudited consolidated financial statements should be read in conjunction with the audited financial statements prepared in accordance with GAAP, and the related notes thereto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which are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at the balance sheet date and the reported amounts of revenues and expenses during the reporting periods.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Recently Issued Accounting Standards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 Reporting Comprehensive Income — 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which requires disaggregated disclosures in the notes of the financial statements of certain categories of expenses that are included in expense line items on the face of the income statement. This ASU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The Company is currently evaluating the potential impact adopting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have on the Company's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800" w:type="dxa"/>
        <w:jc w:val="left"/>
        <w:tblInd w:w="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Acquisition of Hotel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 2026, </w:t>
      </w:r>
      <w:r>
        <w:rPr>
          <w:rFonts w:ascii="Times New Roman" w:hAnsi="Times New Roman"/>
          <w:caps w:val="false"/>
          <w:smallCaps w:val="false"/>
          <w:sz w:val="20"/>
        </w:rPr>
        <w:t xml:space="preserve">the Company acquired a portfolio of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hotel properties for $92.0 million, which included the Hampton Inn &amp; Suites Paducah ("HI Paducah"), the Homewood Suites by Hilton Paducah ("HWS Paducah"), the Homewood Suites by Hilton Joplin ("HWS Joplin"), the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Suites by Hilton Joplin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Joplin"), the Hampton Inn &amp; Suites Effingham ("HI Effingham") and the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Suites by Hilton Effingham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Effingham") hotel properties. The Company allocated the purchase price of the hotel properties acquired based on the estimated fair values of the assets on the date of acquisition. Property acquisition costs of $0.5 million were capitalized in </w:t>
      </w:r>
      <w:r>
        <w:rPr>
          <w:rStyle w:val="Emphasis"/>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85" w:type="dxa"/>
        <w:jc w:val="left"/>
        <w:tblInd w:w="0" w:type="dxa"/>
        <w:tblLayout w:type="fixed"/>
        <w:tblCellMar>
          <w:top w:w="0" w:type="dxa"/>
          <w:left w:w="0" w:type="dxa"/>
          <w:bottom w:w="0" w:type="dxa"/>
          <w:right w:w="0" w:type="dxa"/>
        </w:tblCellMar>
      </w:tblPr>
      <w:tblGrid>
        <w:gridCol w:w="170"/>
        <w:gridCol w:w="261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p>
        </w:tc>
        <w:tc>
          <w:tcPr>
            <w:tcW w:w="26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Disposition of Hotel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23, 2025, </w:t>
      </w:r>
      <w:r>
        <w:rPr>
          <w:rFonts w:ascii="Times New Roman" w:hAnsi="Times New Roman"/>
          <w:caps w:val="false"/>
          <w:smallCaps w:val="false"/>
          <w:sz w:val="20"/>
        </w:rPr>
        <w:t>the Company sold the Homewood Suites by Hilton Boston-Billerica ("HWS Billerica") hotel property in Billerica, MA for $17.4 million and recognized a gain on sale of the hotel property of $6.5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22,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sold the Courtyard Houston-Medical Center ("CY Houston") hotel property in Houston, TX for $23.5 million and recognized a gain on sale of the hotel property of $0.1 million.</w:t>
      </w:r>
    </w:p>
    <w:p>
      <w:pPr>
        <w:pStyle w:val="TextBody"/>
        <w:bidi w:val="0"/>
        <w:spacing w:before="0" w:after="0"/>
        <w:ind w:left="70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17, 2025, </w:t>
      </w:r>
      <w:r>
        <w:rPr>
          <w:rFonts w:ascii="Times New Roman" w:hAnsi="Times New Roman"/>
          <w:caps w:val="false"/>
          <w:smallCaps w:val="false"/>
          <w:sz w:val="20"/>
        </w:rPr>
        <w:t>the Company sold the Hampton Inn &amp; Suites Houston-Medical Center ("HI Houston") hotel property in Houston, TX for $15.5 million and recognized a gain on sale of the hotel property of $1.8 million.</w:t>
      </w:r>
    </w:p>
    <w:p>
      <w:pPr>
        <w:pStyle w:val="TextBody"/>
        <w:bidi w:val="0"/>
        <w:spacing w:before="0" w:after="0"/>
        <w:ind w:left="70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sold the Homewood Suites by Hilton Nashville-Brentwood ("HWS Brentwood") hotel property in Brentwood, TN for $15.0 million and recognized a gain on sale of the hotel property of $5.6 million.</w:t>
      </w:r>
    </w:p>
    <w:p>
      <w:pPr>
        <w:pStyle w:val="TextBody"/>
        <w:bidi w:val="0"/>
        <w:spacing w:before="0" w:after="0"/>
        <w:ind w:left="70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sales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a strategic shift that had or will have a major effect on the Company's operations and financial results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to be reported as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70" w:type="dxa"/>
        <w:jc w:val="left"/>
        <w:tblInd w:w="0" w:type="dxa"/>
        <w:tblLayout w:type="fixed"/>
        <w:tblCellMar>
          <w:top w:w="0" w:type="dxa"/>
          <w:left w:w="0" w:type="dxa"/>
          <w:bottom w:w="0" w:type="dxa"/>
          <w:right w:w="0" w:type="dxa"/>
        </w:tblCellMar>
      </w:tblPr>
      <w:tblGrid>
        <w:gridCol w:w="170"/>
        <w:gridCol w:w="26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p>
        </w:tc>
        <w:tc>
          <w:tcPr>
            <w:tcW w:w="26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Hotel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Investment in hotel properties,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Investment in hotel properties, net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028" w:type="dxa"/>
        <w:jc w:val="left"/>
        <w:tblInd w:w="0" w:type="dxa"/>
        <w:tblLayout w:type="fixed"/>
        <w:tblCellMar>
          <w:top w:w="0" w:type="dxa"/>
          <w:left w:w="0" w:type="dxa"/>
          <w:bottom w:w="0" w:type="dxa"/>
          <w:right w:w="0" w:type="dxa"/>
        </w:tblCellMar>
      </w:tblPr>
      <w:tblGrid>
        <w:gridCol w:w="3950"/>
        <w:gridCol w:w="60"/>
        <w:gridCol w:w="153"/>
        <w:gridCol w:w="1036"/>
        <w:gridCol w:w="80"/>
        <w:gridCol w:w="60"/>
        <w:gridCol w:w="207"/>
        <w:gridCol w:w="1402"/>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268,546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 and improvements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1,174,132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87,528</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Renovations in progress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1,585,764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(478,874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 in hotel properties,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1,179,933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1,106,890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Investment in hotel properties under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We are developing a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Suites by Hilton hotel in Portland, ME on a parcel of land owned by us. We have incurred $1.6 million of development costs through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80" w:type="dxa"/>
        <w:jc w:val="left"/>
        <w:tblInd w:w="0" w:type="dxa"/>
        <w:tblLayout w:type="fixed"/>
        <w:tblCellMar>
          <w:top w:w="0" w:type="dxa"/>
          <w:left w:w="0" w:type="dxa"/>
          <w:bottom w:w="0" w:type="dxa"/>
          <w:right w:w="0" w:type="dxa"/>
        </w:tblCellMar>
      </w:tblPr>
      <w:tblGrid>
        <w:gridCol w:w="170"/>
        <w:gridCol w:w="41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6.</w:t>
            </w:r>
          </w:p>
        </w:tc>
        <w:tc>
          <w:tcPr>
            <w:tcW w:w="4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mortgage loans are collateralized by </w:t>
      </w:r>
      <w:r>
        <w:rPr>
          <w:rStyle w:val="Emphasis"/>
          <w:rFonts w:ascii="Times New Roman" w:hAnsi="Times New Roman"/>
          <w:caps w:val="false"/>
          <w:smallCaps w:val="false"/>
          <w:sz w:val="20"/>
        </w:rPr>
        <w:t>first</w:t>
      </w:r>
      <w:r>
        <w:rPr>
          <w:rFonts w:ascii="Times New Roman" w:hAnsi="Times New Roman"/>
          <w:caps w:val="false"/>
          <w:smallCaps w:val="false"/>
          <w:sz w:val="20"/>
        </w:rPr>
        <w:t>-mortgage liens on certain of the Company’s properties. The mortgage loans are non-recourse except for instances of fraud or misapplication of funds. Mortgage, revolving credit facility, and unsecured term loan debt consisted of the following (dollars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2"/>
        <w:gridCol w:w="60"/>
        <w:gridCol w:w="88"/>
        <w:gridCol w:w="562"/>
        <w:gridCol w:w="185"/>
        <w:gridCol w:w="60"/>
        <w:gridCol w:w="1434"/>
        <w:gridCol w:w="60"/>
        <w:gridCol w:w="60"/>
        <w:gridCol w:w="179"/>
        <w:gridCol w:w="998"/>
        <w:gridCol w:w="60"/>
        <w:gridCol w:w="60"/>
        <w:gridCol w:w="184"/>
        <w:gridCol w:w="1026"/>
        <w:gridCol w:w="118"/>
        <w:gridCol w:w="88"/>
        <w:gridCol w:w="218"/>
        <w:gridCol w:w="1184"/>
        <w:gridCol w:w="99"/>
      </w:tblGrid>
      <w:tr>
        <w:trPr/>
        <w:tc>
          <w:tcPr>
            <w:tcW w:w="34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rStyle w:val="Emphasis"/>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center"/>
              <w:rPr/>
            </w:pPr>
            <w:r>
              <w:rPr>
                <w:rStyle w:val="Emphasis"/>
              </w:rPr>
              <w:t> </w:t>
            </w:r>
          </w:p>
        </w:tc>
        <w:tc>
          <w:tcPr>
            <w:tcW w:w="99" w:type="dxa"/>
            <w:tcBorders/>
            <w:shd w:fill="FFFFFF" w:val="cle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Maturity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Property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Outstanding on Loan as of</w:t>
            </w:r>
          </w:p>
        </w:tc>
        <w:tc>
          <w:tcPr>
            <w:tcW w:w="99" w:type="dxa"/>
            <w:tcBorders/>
            <w:shd w:fill="FFFFFF" w:val="cle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Collateral</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4"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4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 (1)</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25, 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Unsecured Term Loan (2)</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25, 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99" w:type="dxa"/>
            <w:tcBorders/>
            <w:shd w:fill="FFFFFF" w:val="clear"/>
            <w:vAlign w:val="center"/>
          </w:tcPr>
          <w:p>
            <w:pPr>
              <w:pStyle w:val="TableContents"/>
              <w:bidi w:val="0"/>
              <w:spacing w:before="0" w:after="283"/>
              <w:jc w:val="left"/>
              <w:rPr/>
            </w:pPr>
            <w:r>
              <w:rPr/>
              <w:t> </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by Marriott Dallas, TX</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11, 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24,500</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24,500</w:t>
            </w:r>
          </w:p>
        </w:tc>
        <w:tc>
          <w:tcPr>
            <w:tcW w:w="99" w:type="dxa"/>
            <w:tcBorders/>
            <w:shd w:fill="CCEEFF" w:val="cle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Pittsburgh, PA</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11, 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23,300</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23,300</w:t>
            </w:r>
          </w:p>
        </w:tc>
        <w:tc>
          <w:tcPr>
            <w:tcW w:w="99" w:type="dxa"/>
            <w:tcBorders/>
            <w:shd w:fill="FFFFFF" w:val="clear"/>
            <w:vAlign w:val="center"/>
          </w:tcPr>
          <w:p>
            <w:pPr>
              <w:pStyle w:val="TableContents"/>
              <w:bidi w:val="0"/>
              <w:spacing w:before="0" w:after="283"/>
              <w:jc w:val="left"/>
              <w:rPr/>
            </w:pPr>
            <w:r>
              <w:rPr/>
              <w:t> </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by Marriott Austin, TX</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6, 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20,850</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20,850</w:t>
            </w:r>
          </w:p>
        </w:tc>
        <w:tc>
          <w:tcPr>
            <w:tcW w:w="99" w:type="dxa"/>
            <w:tcBorders/>
            <w:shd w:fill="CCEEFF" w:val="cle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TownePlace Suites by Marriott Austin, TX</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6,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19,075</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19,075</w:t>
            </w:r>
          </w:p>
        </w:tc>
        <w:tc>
          <w:tcPr>
            <w:tcW w:w="99" w:type="dxa"/>
            <w:tcBorders/>
            <w:shd w:fill="FFFFFF" w:val="clear"/>
            <w:vAlign w:val="center"/>
          </w:tcPr>
          <w:p>
            <w:pPr>
              <w:pStyle w:val="TableContents"/>
              <w:bidi w:val="0"/>
              <w:spacing w:before="0" w:after="283"/>
              <w:jc w:val="left"/>
              <w:rPr/>
            </w:pPr>
            <w:r>
              <w:rPr/>
              <w:t> </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by Marriott Summerville, SC</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11, 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99" w:type="dxa"/>
            <w:tcBorders/>
            <w:shd w:fill="CCEEFF" w:val="cle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by Marriott Summerville, SC</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11,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99" w:type="dxa"/>
            <w:tcBorders/>
            <w:shd w:fill="FFFFFF" w:val="clear"/>
            <w:vAlign w:val="center"/>
          </w:tcPr>
          <w:p>
            <w:pPr>
              <w:pStyle w:val="TableContents"/>
              <w:bidi w:val="0"/>
              <w:spacing w:before="0" w:after="283"/>
              <w:jc w:val="left"/>
              <w:rPr/>
            </w:pPr>
            <w:r>
              <w:rPr/>
              <w:t> </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SpringHill Suites by Marriott Savannah, GA</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6, 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22,000</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22,000</w:t>
            </w:r>
          </w:p>
        </w:tc>
        <w:tc>
          <w:tcPr>
            <w:tcW w:w="99" w:type="dxa"/>
            <w:tcBorders/>
            <w:shd w:fill="CCEEFF" w:val="cle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&amp; Suites Exeter, NH</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11, 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before unamortized debt issue costs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207,341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418,225</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343,225</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term loan and mortgage debt issue costs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outstanding</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414,320</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338,913</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1.</w:t>
            </w:r>
          </w:p>
        </w:tc>
        <w:tc>
          <w:tcPr>
            <w:tcW w:w="999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interest rate for the revolving credit facility is variable and based on </w:t>
            </w:r>
            <w:r>
              <w:rPr>
                <w:rStyle w:val="Emphasis"/>
                <w:rFonts w:ascii="Times New Roman" w:hAnsi="Times New Roman"/>
                <w:caps w:val="false"/>
                <w:smallCaps w:val="false"/>
                <w:sz w:val="20"/>
              </w:rPr>
              <w:t>one</w:t>
            </w:r>
            <w:r>
              <w:rPr>
                <w:rFonts w:ascii="Times New Roman" w:hAnsi="Times New Roman"/>
                <w:caps w:val="false"/>
                <w:smallCaps w:val="false"/>
                <w:sz w:val="20"/>
              </w:rPr>
              <w:t>-month term secured overnight financing rate ("SOFR") plus a spread of 1.50% to 2.25% based on the Company's leverage.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2.</w:t>
            </w:r>
          </w:p>
        </w:tc>
        <w:tc>
          <w:tcPr>
            <w:tcW w:w="998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interest rate for the unsecured term loan is variable and based on </w:t>
            </w:r>
            <w:r>
              <w:rPr>
                <w:rStyle w:val="Emphasis"/>
                <w:rFonts w:ascii="Times New Roman" w:hAnsi="Times New Roman"/>
                <w:caps w:val="false"/>
                <w:smallCaps w:val="false"/>
                <w:sz w:val="20"/>
              </w:rPr>
              <w:t>one</w:t>
            </w:r>
            <w:r>
              <w:rPr>
                <w:rFonts w:ascii="Times New Roman" w:hAnsi="Times New Roman"/>
                <w:caps w:val="false"/>
                <w:smallCaps w:val="false"/>
                <w:sz w:val="20"/>
              </w:rPr>
              <w:t>-month term SOFR plus a spread of 1.45% to 2.20% based on the Company's leverage.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$275.0 million and $200.0 million, respectively, of outstanding borrowings under its revolving credit facility and unsecured term loan.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aggregate maximum remaining borrowing availability under the revolving credit facility was $225.0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net borrowings of $75.0 million under its revolving credit facility.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had net repayments of $40.0 million under its revolving credit facility and repaid the maturing mortgage loan of $16.0 million on the Hampton Inn Houston hotel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estimates the fair value of its fixed rate debt by discounting the future cash flows of each instrument at estimated market rates. All of the Company's mortgage loans are fixed-rate. Rates take into consideration general market conditions, quality and estimated value of collateral and maturity of debt with similar credit terms and are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The estimated fair value of the Company’s fixed rate debt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was $152.1 million and $154.0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estimates the fair value of its variable rate debt by taking into account general market conditions and the estimated credit terms it could obtain for debt with similar maturity and is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Company’s variable rate debt consisted of borrowings under its revolving credit facility and its unsecured term loan. The estimated fair value of the Company’s variable rate debt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was $275.0 million and $200.0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Future scheduled principal payments of debt obligations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for the current year and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calendar years and thereafter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4355"/>
        <w:gridCol w:w="60"/>
        <w:gridCol w:w="125"/>
        <w:gridCol w:w="695"/>
        <w:gridCol w:w="95"/>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24,590</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298,681</w:t>
            </w:r>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94,544</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before unamortized debt issue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418,225</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term loan and mortgage debt issue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414,320</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Income tax expense was $0.1 million and zero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$0.1 million and zero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TRS is subject to federal and state income taxes. As of each reporting date, the Company's management considers new evidence, both positive and negative, that could impact management's view with regard to future realization of deferred tax assets. The Company's TRS continues to have cumulative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taxable losses.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Company's TRS continues to recognize a full valuation allowance equal to 100% of the net deferred tax assets. Management will continue to monitor the need for a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635" w:type="dxa"/>
        <w:jc w:val="left"/>
        <w:tblInd w:w="0" w:type="dxa"/>
        <w:tblLayout w:type="fixed"/>
        <w:tblCellMar>
          <w:top w:w="0" w:type="dxa"/>
          <w:left w:w="0" w:type="dxa"/>
          <w:bottom w:w="0" w:type="dxa"/>
          <w:right w:w="0" w:type="dxa"/>
        </w:tblCellMar>
      </w:tblPr>
      <w:tblGrid>
        <w:gridCol w:w="170"/>
        <w:gridCol w:w="24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Dividends Declared and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Common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declared total dividends on common shares of $ 0.20 per share and distributions on LTIP units of $ 0.20 per unit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declared total dividends on common shares of $ 0.18 per share and distributions on LTIP units of $ 0.18 per unit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dividends on common shares and distributions on LTIP units were as follows:</w:t>
      </w:r>
    </w:p>
    <w:p>
      <w:pPr>
        <w:pStyle w:val="TextBody"/>
        <w:bidi w:val="0"/>
        <w:spacing w:before="0" w:after="0"/>
        <w:ind w:left="0" w:right="0" w:firstLine="720"/>
        <w:jc w:val="left"/>
        <w:rPr>
          <w:caps w:val="false"/>
          <w:smallCaps w:val="false"/>
        </w:rPr>
      </w:pPr>
      <w:r>
        <w:rPr>
          <w:caps w:val="false"/>
          <w:smallCaps w:val="false"/>
        </w:rPr>
        <w:t> </w:t>
      </w:r>
    </w:p>
    <w:tbl>
      <w:tblPr>
        <w:tblW w:w="5679" w:type="dxa"/>
        <w:jc w:val="left"/>
        <w:tblInd w:w="0" w:type="dxa"/>
        <w:tblLayout w:type="fixed"/>
        <w:tblCellMar>
          <w:top w:w="0" w:type="dxa"/>
          <w:left w:w="0" w:type="dxa"/>
          <w:bottom w:w="0" w:type="dxa"/>
          <w:right w:w="0" w:type="dxa"/>
        </w:tblCellMar>
      </w:tblPr>
      <w:tblGrid>
        <w:gridCol w:w="950"/>
        <w:gridCol w:w="1055"/>
        <w:gridCol w:w="1175"/>
        <w:gridCol w:w="60"/>
        <w:gridCol w:w="312"/>
        <w:gridCol w:w="952"/>
        <w:gridCol w:w="60"/>
        <w:gridCol w:w="60"/>
        <w:gridCol w:w="246"/>
        <w:gridCol w:w="749"/>
        <w:gridCol w:w="60"/>
      </w:tblGrid>
      <w:tr>
        <w:trPr/>
        <w:tc>
          <w:tcPr>
            <w:tcW w:w="95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LTIP unit</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Record Date</w:t>
            </w:r>
          </w:p>
        </w:tc>
        <w:tc>
          <w:tcPr>
            <w:tcW w:w="11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Payment Date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3/31/2026</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4/15/2026</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105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6/30/2026</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7/15/2026</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2026</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5304" w:type="dxa"/>
        <w:jc w:val="left"/>
        <w:tblInd w:w="0" w:type="dxa"/>
        <w:tblLayout w:type="fixed"/>
        <w:tblCellMar>
          <w:top w:w="0" w:type="dxa"/>
          <w:left w:w="0" w:type="dxa"/>
          <w:bottom w:w="0" w:type="dxa"/>
          <w:right w:w="0" w:type="dxa"/>
        </w:tblCellMar>
      </w:tblPr>
      <w:tblGrid>
        <w:gridCol w:w="560"/>
        <w:gridCol w:w="1055"/>
        <w:gridCol w:w="1175"/>
        <w:gridCol w:w="60"/>
        <w:gridCol w:w="312"/>
        <w:gridCol w:w="952"/>
        <w:gridCol w:w="60"/>
        <w:gridCol w:w="60"/>
        <w:gridCol w:w="246"/>
        <w:gridCol w:w="749"/>
        <w:gridCol w:w="75"/>
      </w:tblGrid>
      <w:tr>
        <w:trPr/>
        <w:tc>
          <w:tcPr>
            <w:tcW w:w="5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LTIP unit</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distribution</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Record Date</w:t>
            </w:r>
          </w:p>
        </w:tc>
        <w:tc>
          <w:tcPr>
            <w:tcW w:w="11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Payment Date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3/31/2025</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4/15/2025</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105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6/30/2025</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7/15/2025</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90" w:type="dxa"/>
            <w:gridSpan w:val="3"/>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Total 2025</w:t>
            </w:r>
          </w:p>
        </w:tc>
        <w:tc>
          <w:tcPr>
            <w:tcW w:w="6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0.18</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Preferred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declared total dividends of $0.82812 and $0.82812, respectively, per share of 6.625% Series A Cumulative Redeemable Preferred Shares. The preferred share dividends were as follows:</w:t>
      </w:r>
    </w:p>
    <w:p>
      <w:pPr>
        <w:pStyle w:val="TextBody"/>
        <w:bidi w:val="0"/>
        <w:spacing w:before="0" w:after="0"/>
        <w:ind w:left="0" w:right="0" w:hanging="0"/>
        <w:jc w:val="left"/>
        <w:rPr>
          <w:caps w:val="false"/>
          <w:smallCaps w:val="false"/>
        </w:rPr>
      </w:pPr>
      <w:r>
        <w:rPr>
          <w:caps w:val="false"/>
          <w:smallCaps w:val="false"/>
        </w:rPr>
        <w:t> </w:t>
      </w:r>
    </w:p>
    <w:tbl>
      <w:tblPr>
        <w:tblW w:w="4624" w:type="dxa"/>
        <w:jc w:val="left"/>
        <w:tblInd w:w="0" w:type="dxa"/>
        <w:tblLayout w:type="fixed"/>
        <w:tblCellMar>
          <w:top w:w="0" w:type="dxa"/>
          <w:left w:w="0" w:type="dxa"/>
          <w:bottom w:w="0" w:type="dxa"/>
          <w:right w:w="0" w:type="dxa"/>
        </w:tblCellMar>
      </w:tblPr>
      <w:tblGrid>
        <w:gridCol w:w="950"/>
        <w:gridCol w:w="1055"/>
        <w:gridCol w:w="1175"/>
        <w:gridCol w:w="60"/>
        <w:gridCol w:w="201"/>
        <w:gridCol w:w="1123"/>
        <w:gridCol w:w="60"/>
      </w:tblGrid>
      <w:tr>
        <w:trPr/>
        <w:tc>
          <w:tcPr>
            <w:tcW w:w="95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Dividend per</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Record Date</w:t>
            </w:r>
          </w:p>
        </w:tc>
        <w:tc>
          <w:tcPr>
            <w:tcW w:w="11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Payment Date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Preferred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3/31/2026</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4/15/2026</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105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6/30/2026</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7/15/2026</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2026</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0.82812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24" w:type="dxa"/>
        <w:jc w:val="left"/>
        <w:tblInd w:w="0" w:type="dxa"/>
        <w:tblLayout w:type="fixed"/>
        <w:tblCellMar>
          <w:top w:w="0" w:type="dxa"/>
          <w:left w:w="0" w:type="dxa"/>
          <w:bottom w:w="0" w:type="dxa"/>
          <w:right w:w="0" w:type="dxa"/>
        </w:tblCellMar>
      </w:tblPr>
      <w:tblGrid>
        <w:gridCol w:w="950"/>
        <w:gridCol w:w="1055"/>
        <w:gridCol w:w="1175"/>
        <w:gridCol w:w="60"/>
        <w:gridCol w:w="201"/>
        <w:gridCol w:w="1123"/>
        <w:gridCol w:w="60"/>
      </w:tblGrid>
      <w:tr>
        <w:trPr/>
        <w:tc>
          <w:tcPr>
            <w:tcW w:w="95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Dividend per</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Record Date</w:t>
            </w:r>
          </w:p>
        </w:tc>
        <w:tc>
          <w:tcPr>
            <w:tcW w:w="11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Payment Date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Preferred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3/31/2025</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4/15/2025</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105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6/30/2025</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7/15/2025</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2025</w:t>
            </w:r>
          </w:p>
        </w:tc>
        <w:tc>
          <w:tcPr>
            <w:tcW w:w="1055" w:type="dxa"/>
            <w:tcBorders/>
            <w:shd w:fill="FFFFFF" w:val="clear"/>
            <w:vAlign w:val="center"/>
          </w:tcPr>
          <w:p>
            <w:pPr>
              <w:pStyle w:val="TableContents"/>
              <w:bidi w:val="0"/>
              <w:spacing w:before="0" w:after="283"/>
              <w:jc w:val="left"/>
              <w:rPr/>
            </w:pPr>
            <w:r>
              <w:rPr>
                <w:rStyle w:val="Emphasis"/>
              </w:rPr>
              <w:t> </w:t>
            </w:r>
          </w:p>
        </w:tc>
        <w:tc>
          <w:tcPr>
            <w:tcW w:w="11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0.82812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90" w:type="dxa"/>
        <w:jc w:val="left"/>
        <w:tblInd w:w="0" w:type="dxa"/>
        <w:tblLayout w:type="fixed"/>
        <w:tblCellMar>
          <w:top w:w="0" w:type="dxa"/>
          <w:left w:w="0" w:type="dxa"/>
          <w:bottom w:w="0" w:type="dxa"/>
          <w:right w:w="0" w:type="dxa"/>
        </w:tblCellMar>
      </w:tblPr>
      <w:tblGrid>
        <w:gridCol w:w="170"/>
        <w:gridCol w:w="182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9.</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authorized to issue up to 500,000,000 common shares of beneficial interest, $0.01 par value per share ("common shares"). Each outstanding common share entitles the holder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vote on all matters submitted to a vote of shareholders. Holders of the Company’s common shares are entitled to receive dividends when authorized by the Company's Board of Trustees.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46,565,171 common shares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2017, </w:t>
      </w:r>
      <w:r>
        <w:rPr>
          <w:rFonts w:ascii="Times New Roman" w:hAnsi="Times New Roman"/>
          <w:caps w:val="false"/>
          <w:smallCaps w:val="false"/>
          <w:sz w:val="20"/>
        </w:rPr>
        <w:t xml:space="preserve">the Company established a $50.0 million dividend reinvestment and share purchase plan (the "DRSPP") which was renewed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and renewed again 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Under the DRSPP, shareholders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additional common shares by reinvesting some or all of the cash dividends received on common shares. Shareholders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make optional cash purchases of the Company's common shares subject to certain limitations detailed in the prospectuses for the DRSPP.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issued 1,555 common shares under the DRSPP at a weighted-average price per share of $9.53, which generated $15 thousand of proceeds.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issued 3,124 common shares under the DRSPP at a weighted-average price per share of $8.45, which generated $26 thousand of proceeds.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was approximately $49.9 million of common shares available for issuance under the DRSPP.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May 2025,</w:t>
      </w:r>
      <w:r>
        <w:rPr>
          <w:rFonts w:ascii="Times New Roman" w:hAnsi="Times New Roman"/>
          <w:caps w:val="false"/>
          <w:smallCaps w:val="false"/>
          <w:sz w:val="20"/>
        </w:rPr>
        <w:t xml:space="preserve"> the Board of Trustees authorized and approved a $25.0 million share repurchase program (the "Share Repurchase Program") of common shares of the Company. Under the Share Repurchase Program, the Company has the ability to repurchase up to $25.0 million of common shares through open market purchases or other privately negotiated transactions at times and in amounts as the Company deems appropriate. The Share Repurchase Program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time limit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or discontinued at any time.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repurchased 311,745 common shares at a weighted-average price per share of $9.07 for an aggregate purchase price, including commissions, of approximately $2.8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repurchased 1,216,672 common shares at a weighted-average price per share of $7.79 for an aggregate purchase price, including commissions, of approximately $9.5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approximately $6.6 million of common shares remained available for repurchase under the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authorized to issue up to 100,000,000 preferred shares of beneficial interest, $0.01 par value per share,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the Company issued 4,800,000 6.625% Series A Cumulative Redeemable Preferred Shares of Beneficial Interest, $0.01 par value per share (the “Series A Preferred Shares”), and received net proceeds of approximately $115.9 million. The Series A Preferred Shares rank senior to common shares with respect to the payment of dividends and distributions of assets in the event of a liquidation, dissolution, or winding up. The Series A Preferred Shares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maturity date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mandatory redemptions or sinking fund requirements. The distribution rate is 6.625% per annum of the $25.00 liquidation preference, which is equivalent to $1.65625 per annum per Series A Preferred Share. Distributions on the Series A Preferred Shares are payable quarterly in arrears. At any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option, redeem the Series A Preferred Shares, in whole or from time to time in part, by paying $25.00 per share, plus any accrued and unpaid distributions to,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including, the date of redemption. Upon the occurrence of a change of control, as defined in the Company's declaration of trust, the result of which common shares and the common securities of the acquiring or surviving entity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listed on the New York Stock Exchange, the NYSE American or NASDAQ, or any successor exchanges,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option, redeem the Series A Preferred Shares in whole or in part within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following the change of control by paying $25.00 per share, plus any accrued and unpaid distributions through the date of redemption.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exercise its right to redeem the Series A Preferred Shares upon a change of control, the holders of Series A Preferred Shares have the right to convert some or all of their shares into a number of common shares based on defined formulas subject to share caps. The share cap on each Series A Preferred Share is 3.701 common shares.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4,800,000 Series A Preferred Shares were issued and outstanding.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paid preferred share dividends of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Operating Partnership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Holders of common units in the Operating Partnership, if and when issued, will have certain redemption rights, which will enable the unit holders to cause the Operating Partnership to redeem their units in exchange for, at the Company’s option, cash per unit equal to the market price per common share at the time of redemption or for common shares on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basis. The number of shares issuable upon exercise of the redemption rights will be adjusted upon the occurrence of share splits, mergers, consolidations or similar pro-rata share transactions, which otherwise would have the effect of diluting the ownership interests of limited partners or shareholders.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were 2,399,044 vested LTIP units held by current and former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is used to determine earnings per share because unvested restricted shares and unvested LTIP units are considered to be participating shares. The LTIP units held by the non-controlling interest holders,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converted to common shares, have been excluded from the denominator of the diluted earnings per common share calculation as there would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the amounts since limited partners' share of income or loss would also be added back to net income or loss. Unvested restricted shares, unvested long-term incentive plan units and unvested Class A Performance LTIP units that could potentially dilute basic earnings per common share in the future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included in the computation of diluted loss per common share, for the periods where a loss has been recorded, because they would have been anti-dilutive for the periods presented.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excluded zero and zero, respectively, of unvested shares and units as their effect would have been anti-dilutive.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excluded 1,324,507 and zero, respectively, of unvested shares and units as their effect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the amounts used in calculating basic and diluted net income per common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5"/>
        <w:gridCol w:w="60"/>
        <w:gridCol w:w="125"/>
        <w:gridCol w:w="950"/>
        <w:gridCol w:w="80"/>
        <w:gridCol w:w="60"/>
        <w:gridCol w:w="125"/>
        <w:gridCol w:w="950"/>
        <w:gridCol w:w="80"/>
        <w:gridCol w:w="60"/>
        <w:gridCol w:w="125"/>
        <w:gridCol w:w="950"/>
        <w:gridCol w:w="80"/>
        <w:gridCol w:w="60"/>
        <w:gridCol w:w="125"/>
        <w:gridCol w:w="950"/>
        <w:gridCol w:w="80"/>
      </w:tblGrid>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on unvested shares and units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excluding amounts attributable to unvested shares and units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46,634,258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48,998,696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46,941,191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48,979,914</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and units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1,278,798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566,997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1,005,930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47,913,056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49,565,693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46,941,191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49,985,844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income (loss)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per weighted average basic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income (loss)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per weighted average diluted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125" w:type="dxa"/>
        <w:jc w:val="left"/>
        <w:tblInd w:w="0" w:type="dxa"/>
        <w:tblLayout w:type="fixed"/>
        <w:tblCellMar>
          <w:top w:w="0" w:type="dxa"/>
          <w:left w:w="0" w:type="dxa"/>
          <w:bottom w:w="0" w:type="dxa"/>
          <w:right w:w="0" w:type="dxa"/>
        </w:tblCellMar>
      </w:tblPr>
      <w:tblGrid>
        <w:gridCol w:w="275"/>
        <w:gridCol w:w="185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p>
        </w:tc>
        <w:tc>
          <w:tcPr>
            <w:tcW w:w="1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maintains its Equity Incentive Plan to attract and retain independent trustees, executive officers and other key employees. The plan provides for the grant of options to purchase common shares, share awards, share appreciation rights, performance units and other equity-based awards. The plan was amended on </w:t>
      </w:r>
      <w:r>
        <w:rPr>
          <w:rStyle w:val="Emphasis"/>
          <w:rFonts w:ascii="Times New Roman" w:hAnsi="Times New Roman"/>
          <w:caps w:val="false"/>
          <w:smallCaps w:val="false"/>
          <w:sz w:val="20"/>
        </w:rPr>
        <w:t>May 6, 2025 </w:t>
      </w:r>
      <w:r>
        <w:rPr>
          <w:rFonts w:ascii="Times New Roman" w:hAnsi="Times New Roman"/>
          <w:caps w:val="false"/>
          <w:smallCaps w:val="false"/>
          <w:sz w:val="20"/>
        </w:rPr>
        <w:t xml:space="preserve">to increase the maximum number of shares available under the plan by 2,150,000 shares and to increase the individual grant limit with respect to performance units. The plan has a 10-year term that expires on </w:t>
      </w:r>
      <w:r>
        <w:rPr>
          <w:rStyle w:val="Emphasis"/>
          <w:rFonts w:ascii="Times New Roman" w:hAnsi="Times New Roman"/>
          <w:caps w:val="false"/>
          <w:smallCaps w:val="false"/>
          <w:sz w:val="20"/>
        </w:rPr>
        <w:t xml:space="preserve">March 22, 2032. </w:t>
      </w:r>
      <w:r>
        <w:rPr>
          <w:rFonts w:ascii="Times New Roman" w:hAnsi="Times New Roman"/>
          <w:caps w:val="false"/>
          <w:smallCaps w:val="false"/>
          <w:sz w:val="20"/>
        </w:rPr>
        <w:t xml:space="preserve">Share awards under the plan generally vest over three to five years, though compensation for the Company’s independent trustees includes share grants that vest immediately. The Company pays dividends on unvested shares and units, except for performance-based units, for which 10% of dividends on unvested performance-based units are paid and the remaining 90% of dividends are accrued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until those units vest. Certain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for accelerated vesting if there is a change in control. In </w:t>
      </w:r>
      <w:r>
        <w:rPr>
          <w:rStyle w:val="Emphasis"/>
          <w:rFonts w:ascii="Times New Roman" w:hAnsi="Times New Roman"/>
          <w:caps w:val="false"/>
          <w:smallCaps w:val="false"/>
          <w:sz w:val="20"/>
        </w:rPr>
        <w:t>January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issued 61,699 and 61,551 common shares, respectively, to its independent trustees as compensation for services performed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were 1,788,449 common shares available for issuance under the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Restricted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award restricted shares under the Equity Incentive Plan as compensation to officers, employees and non-employee trustees. The Company recognizes compensation expense for the restricted shares on a straight-line basis over the vesting period based on the fair market value of the shares on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 summary of the Company’s restricted share awards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is as follows:</w:t>
      </w:r>
    </w:p>
    <w:p>
      <w:pPr>
        <w:pStyle w:val="TextBody"/>
        <w:bidi w:val="0"/>
        <w:spacing w:before="0" w:after="0"/>
        <w:ind w:left="0" w:right="0" w:hanging="0"/>
        <w:jc w:val="left"/>
        <w:rPr>
          <w:caps w:val="false"/>
          <w:smallCaps w:val="false"/>
        </w:rPr>
      </w:pPr>
      <w:r>
        <w:rPr>
          <w:caps w:val="false"/>
          <w:smallCaps w:val="false"/>
        </w:rPr>
        <w:t> </w:t>
      </w:r>
    </w:p>
    <w:tbl>
      <w:tblPr>
        <w:tblW w:w="8314" w:type="dxa"/>
        <w:jc w:val="left"/>
        <w:tblInd w:w="0" w:type="dxa"/>
        <w:tblLayout w:type="fixed"/>
        <w:tblCellMar>
          <w:top w:w="0" w:type="dxa"/>
          <w:left w:w="0" w:type="dxa"/>
          <w:bottom w:w="0" w:type="dxa"/>
          <w:right w:w="0" w:type="dxa"/>
        </w:tblCellMar>
      </w:tblPr>
      <w:tblGrid>
        <w:gridCol w:w="3110"/>
        <w:gridCol w:w="60"/>
        <w:gridCol w:w="97"/>
        <w:gridCol w:w="959"/>
        <w:gridCol w:w="130"/>
        <w:gridCol w:w="97"/>
        <w:gridCol w:w="338"/>
        <w:gridCol w:w="1031"/>
        <w:gridCol w:w="60"/>
        <w:gridCol w:w="60"/>
        <w:gridCol w:w="71"/>
        <w:gridCol w:w="713"/>
        <w:gridCol w:w="91"/>
        <w:gridCol w:w="68"/>
        <w:gridCol w:w="279"/>
        <w:gridCol w:w="1090"/>
        <w:gridCol w:w="60"/>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center"/>
              <w:rPr/>
            </w:pPr>
            <w:r>
              <w:rPr>
                <w:rStyle w:val="Emphasis"/>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beginning of the period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10,825</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8,433</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8,044</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(4,482</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end of the period</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14,776</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3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10,825</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were $101 thousand and $60 thousand, respectively, of unrecognized compensation costs related to restricted share awards.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these costs were expected to be recognized over a weighted-average period of approximately 2.2 years.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recognized approximately $13 thousand and $10 thousand, respectively, of expense related to the restricted share awards, and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approximately $25 thousand and $17 thousand, respectively, of expense related to the restricted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Long-Term Incentive Plan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LTIP units are a special class of partnership interests in the Operating Partnership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to eligible participants for the performance of services to or for the benefit of the Company. Under the Equity Incentive Plan, each LTIP unit issued is deemed equivalent to an award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common share thereby reducing the number of shares available for other equity awards on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 summary of the Company's LTIP unit awards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3110"/>
        <w:gridCol w:w="60"/>
        <w:gridCol w:w="76"/>
        <w:gridCol w:w="1074"/>
        <w:gridCol w:w="101"/>
        <w:gridCol w:w="76"/>
        <w:gridCol w:w="279"/>
        <w:gridCol w:w="1090"/>
        <w:gridCol w:w="60"/>
        <w:gridCol w:w="60"/>
        <w:gridCol w:w="60"/>
        <w:gridCol w:w="845"/>
        <w:gridCol w:w="80"/>
        <w:gridCol w:w="60"/>
        <w:gridCol w:w="279"/>
        <w:gridCol w:w="1090"/>
        <w:gridCol w:w="60"/>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center"/>
              <w:rPr/>
            </w:pPr>
            <w:r>
              <w:rPr>
                <w:rStyle w:val="Emphasis"/>
              </w:rPr>
              <w:t> </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Units</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Units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beginning of the period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1,377,563</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664,724</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(207,534</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(315,563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(251,843</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end of the period</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1,582,910</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1,377,563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Time-Based LTIP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2026, </w:t>
      </w:r>
      <w:r>
        <w:rPr>
          <w:rFonts w:ascii="Times New Roman" w:hAnsi="Times New Roman"/>
          <w:caps w:val="false"/>
          <w:smallCaps w:val="false"/>
          <w:sz w:val="20"/>
        </w:rPr>
        <w:t xml:space="preserve">the Company’s Operating Partnership, upon the recommendation of the Compensation Committee, granted 265,890 time-based LTIP unit awards (the </w:t>
      </w:r>
      <w:r>
        <w:rPr>
          <w:rStyle w:val="Emphasis"/>
          <w:rFonts w:ascii="Times New Roman" w:hAnsi="Times New Roman"/>
          <w:caps w:val="false"/>
          <w:smallCaps w:val="false"/>
          <w:sz w:val="20"/>
        </w:rPr>
        <w:t>“2026</w:t>
      </w:r>
      <w:r>
        <w:rPr>
          <w:rFonts w:ascii="Times New Roman" w:hAnsi="Times New Roman"/>
          <w:caps w:val="false"/>
          <w:smallCaps w:val="false"/>
          <w:sz w:val="20"/>
        </w:rPr>
        <w:t> Time-Based LTIP Unit Award”). The grants were made pursuant to award agreements that provide for time-based vesting (the "LTIP Unit Time-Based Vesting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Time-based LTIP unit awards will vest ratably provided that the recipient remains employed by the Company through the applicable vesting date, subject to acceleration of vesting in the event of the recipient’s death, disability, termination without cause or resignation with good reason, or in the event of a change of control of the Company. Prior to vesting, a holder is entitled to receive distributions on the LTIP units that comprise the </w:t>
      </w:r>
      <w:r>
        <w:rPr>
          <w:rStyle w:val="Emphasis"/>
          <w:rFonts w:ascii="Times New Roman" w:hAnsi="Times New Roman"/>
          <w:caps w:val="false"/>
          <w:smallCaps w:val="false"/>
          <w:sz w:val="20"/>
        </w:rPr>
        <w:t>2026</w:t>
      </w:r>
      <w:r>
        <w:rPr>
          <w:rFonts w:ascii="Times New Roman" w:hAnsi="Times New Roman"/>
          <w:caps w:val="false"/>
          <w:smallCaps w:val="false"/>
          <w:sz w:val="20"/>
        </w:rPr>
        <w:t> Time-Based LTIP Unit Awards and the prior year LTIP unit awards set forth in the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Performance-Based LTIP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2026, </w:t>
      </w:r>
      <w:r>
        <w:rPr>
          <w:rFonts w:ascii="Times New Roman" w:hAnsi="Times New Roman"/>
          <w:caps w:val="false"/>
          <w:smallCaps w:val="false"/>
          <w:sz w:val="20"/>
        </w:rPr>
        <w:t xml:space="preserve">the Company's Operating Partnership, upon the recommendation of the Compensation Committee, also granted 398,834 performance-based LTIP unit awards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Performance-Based LTIP Unit Awards"). The grants were made pursuant to award agreements that have market-based vesting conditions. The Performance-Based LTIP Unit Awards are comprised of Class A Performance LTIP Units that will vest only if and to the extent that (i) the Company achieves certain long-term market-based total shareholder return ("TSR") criteria established by the Compensation Committee and (ii) the recipient remains employed by the Company through the applicable vesting date, subject to acceleration of vesting in the event of the recipient’s death, disability, termination without cause or resignation with good reason, or in the event of a change of control of the Company. Compensation expense is based on an estimated value of $9.12 per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Performance-Based LTIP Unit Award, which takes into account that the number of units that ultimately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vest will depend on the achievement of long-term market-based TSR criteria.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Performance-Based LTIP Unit Awards have an absolute negative TSR modifier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reduce payout percentages if the absolute TSR over the measurement period is negative.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Performance-Based LTIP Unit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earned based on the Company’s relative TSR performance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beginning on </w:t>
      </w:r>
      <w:r>
        <w:rPr>
          <w:rStyle w:val="Emphasis"/>
          <w:rFonts w:ascii="Times New Roman" w:hAnsi="Times New Roman"/>
          <w:caps w:val="false"/>
          <w:smallCaps w:val="false"/>
          <w:sz w:val="20"/>
        </w:rPr>
        <w:t>March 1, 2026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 xml:space="preserve">February 28, 2029.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2026</w:t>
      </w:r>
      <w:r>
        <w:rPr>
          <w:rFonts w:ascii="Times New Roman" w:hAnsi="Times New Roman"/>
          <w:caps w:val="false"/>
          <w:smallCaps w:val="false"/>
          <w:sz w:val="20"/>
        </w:rPr>
        <w:t> Performance-Based LTIP Unit Awards, if earned, will be paid out between 50% and 200% of target value as follows:</w:t>
      </w:r>
    </w:p>
    <w:p>
      <w:pPr>
        <w:pStyle w:val="TextBody"/>
        <w:bidi w:val="0"/>
        <w:spacing w:before="0" w:after="0"/>
        <w:ind w:left="0" w:right="0" w:hanging="0"/>
        <w:jc w:val="left"/>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875"/>
        <w:gridCol w:w="2825"/>
        <w:gridCol w:w="60"/>
        <w:gridCol w:w="1580"/>
        <w:gridCol w:w="200"/>
      </w:tblGrid>
      <w:tr>
        <w:trPr/>
        <w:tc>
          <w:tcPr>
            <w:tcW w:w="875" w:type="dxa"/>
            <w:tcBorders/>
            <w:shd w:fill="FFFFFF" w:val="clear"/>
            <w:vAlign w:val="center"/>
          </w:tcPr>
          <w:p>
            <w:pPr>
              <w:pStyle w:val="TableContents"/>
              <w:bidi w:val="0"/>
              <w:spacing w:before="0" w:after="283"/>
              <w:ind w:left="0" w:right="0" w:hanging="0"/>
              <w:jc w:val="left"/>
              <w:rPr/>
            </w:pPr>
            <w:r>
              <w:rPr/>
              <w:t> </w:t>
            </w:r>
          </w:p>
        </w:tc>
        <w:tc>
          <w:tcPr>
            <w:tcW w:w="28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Relative TSR Hurdles (Percentile)</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Payout Percentage</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Threshold</w:t>
            </w:r>
          </w:p>
        </w:tc>
        <w:tc>
          <w:tcPr>
            <w:tcW w:w="28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25th</w:t>
            </w:r>
          </w:p>
        </w:tc>
        <w:tc>
          <w:tcPr>
            <w:tcW w:w="60"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Target</w:t>
            </w:r>
          </w:p>
        </w:tc>
        <w:tc>
          <w:tcPr>
            <w:tcW w:w="28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55th</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w:t>
            </w:r>
          </w:p>
        </w:tc>
        <w:tc>
          <w:tcPr>
            <w:tcW w:w="28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80th</w:t>
            </w:r>
          </w:p>
        </w:tc>
        <w:tc>
          <w:tcPr>
            <w:tcW w:w="60"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Payouts at performance levels in between the hurdles will be calculated by straight-line interpolation.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estimated the aggregate compensation cost to be recognized over the service period determined as of the grant date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excluding the effect of estimated forfeitures, using a Monte Carlo approach. In determining the discounted value of the LTIP units, the Company considered the inherent uncertainty that the LTIP units would never reach parity with the other common units of the Operating Partnership and thus have an economic value of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to the grantee. Additional factors considered in estimating the value of LTIP units included discounts for illiquidity, expectations for future dividends, risk free interest rates, share price volatility, and economic environment and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grant date fair values of the LTIPs and the assumptions used to estimate the values are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5"/>
        <w:gridCol w:w="853"/>
        <w:gridCol w:w="60"/>
        <w:gridCol w:w="85"/>
        <w:gridCol w:w="1009"/>
        <w:gridCol w:w="60"/>
        <w:gridCol w:w="60"/>
        <w:gridCol w:w="265"/>
        <w:gridCol w:w="1032"/>
        <w:gridCol w:w="60"/>
        <w:gridCol w:w="60"/>
        <w:gridCol w:w="168"/>
        <w:gridCol w:w="647"/>
        <w:gridCol w:w="185"/>
        <w:gridCol w:w="60"/>
        <w:gridCol w:w="137"/>
        <w:gridCol w:w="633"/>
        <w:gridCol w:w="185"/>
        <w:gridCol w:w="60"/>
        <w:gridCol w:w="140"/>
        <w:gridCol w:w="861"/>
        <w:gridCol w:w="190"/>
      </w:tblGrid>
      <w:tr>
        <w:trPr/>
        <w:tc>
          <w:tcPr>
            <w:tcW w:w="339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Dividend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Risk Free</w:t>
            </w:r>
          </w:p>
        </w:tc>
        <w:tc>
          <w:tcPr>
            <w:tcW w:w="190" w:type="dxa"/>
            <w:tcBorders/>
            <w:shd w:fill="FFFFFF" w:val="clear"/>
            <w:vAlign w:val="center"/>
          </w:tcPr>
          <w:p>
            <w:pPr>
              <w:pStyle w:val="TableContents"/>
              <w:bidi w:val="0"/>
              <w:spacing w:before="0" w:after="283"/>
              <w:jc w:val="left"/>
              <w:rPr/>
            </w:pPr>
            <w:r>
              <w:rPr/>
              <w:t> </w:t>
            </w:r>
          </w:p>
        </w:tc>
      </w:tr>
      <w:tr>
        <w:trPr/>
        <w:tc>
          <w:tcPr>
            <w:tcW w:w="3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 Date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Units Granted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 Unit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Volatility</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Yield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 Rate</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 Time-Based LTIP Unit Awards</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3/1/2022</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152,004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 Performance-Based LTIP Unit Awards (1)</w:t>
            </w:r>
          </w:p>
        </w:tc>
        <w:tc>
          <w:tcPr>
            <w:tcW w:w="85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3/1/2022</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 Time-Based LTIP Unit Awards</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3/1/2023</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 Performance-Based LTIP Unit Awards (2)</w:t>
            </w:r>
          </w:p>
        </w:tc>
        <w:tc>
          <w:tcPr>
            <w:tcW w:w="85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3/1/2023</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256,757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Time-Based LTIP Unit Awards</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204,909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Performance-Based LTIP Unit Awards</w:t>
            </w:r>
          </w:p>
        </w:tc>
        <w:tc>
          <w:tcPr>
            <w:tcW w:w="85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3/1/2024</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307,355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Time-Based LTIP Unit Awards</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253,722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Performance-Based LTIP Unit Awards</w:t>
            </w:r>
          </w:p>
        </w:tc>
        <w:tc>
          <w:tcPr>
            <w:tcW w:w="85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380,571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Time-Based LTIP Unit Awards</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265,890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Performance-Based LTIP Unit Awards</w:t>
            </w:r>
          </w:p>
        </w:tc>
        <w:tc>
          <w:tcPr>
            <w:tcW w:w="853"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3/1/2026</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398,834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following the end of the measurement period, the Company’s TSR met certain criteria and based on the Company’s TSR over the measurement period, 142,905 LTIP units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following the end of the measurement period, the Company’s TSR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certain criteria and based on the Company’s TSR over the measurement period, zero LTIP units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recorded $1.4 million and $1.4 million in compensation expense related to the LTIP units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and $2.8 million and $2.9 million in compensation expense related to the LTIP units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there was $9.2 million and $6.5 million, respectively, of total unrecognized compensation cost related to LTIP units. This cost is expected to be recognized over approximately 2.1 years, which represents the weighted-average remaining vesting period of the LTIP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the lessee under ground, property, air rights, garage and office lease agreements for certain of its properties. The Company's leases are classified as operating or finance leases. The Company recognizes a ROU asset and lease liability at the estimated present value of the minimum lease payments over the lease term. These leases typically provide multi-year renewal options to extend the term as lessee at the Company's option. Option periods are included in the calculation of the lease obligation liability only when options are reasonably certain to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calculating the Company's lease obligations under the various leases, the Company uses discount rates estimated to be equal to what the Company would have to pay to borrow on a collateralized basis over a similar term, for an amount equal to the lease payments, in a similar economic environment. Lease obligations are based on contractually required cash payments, while lease expense is recognized on a straight-line basis for its operating leases and as interest expense on the lease liability for its finance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Residence Inn Gaslamp hotel property is subject to a ground lease with an expiration date of </w:t>
      </w:r>
      <w:r>
        <w:rPr>
          <w:rStyle w:val="Emphasis"/>
          <w:rFonts w:ascii="Times New Roman" w:hAnsi="Times New Roman"/>
          <w:caps w:val="false"/>
          <w:smallCaps w:val="false"/>
          <w:sz w:val="20"/>
        </w:rPr>
        <w:t>January 31, 2065</w:t>
      </w:r>
      <w:r>
        <w:rPr>
          <w:rFonts w:ascii="Times New Roman" w:hAnsi="Times New Roman"/>
          <w:caps w:val="false"/>
          <w:smallCaps w:val="false"/>
          <w:sz w:val="20"/>
        </w:rPr>
        <w:t xml:space="preserve"> with an extension option by the Company of up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additional terms of ten years each. Monthly payments are currently approximately $49 thousand per month and increase 10% every five years. The hotel is subject to annual supplemental rent payments calculated as 5% of gross revenues during the applicable lease year, minus </w:t>
      </w:r>
      <w:r>
        <w:rPr>
          <w:rStyle w:val="Emphasis"/>
          <w:rFonts w:ascii="Times New Roman" w:hAnsi="Times New Roman"/>
          <w:caps w:val="false"/>
          <w:smallCaps w:val="false"/>
          <w:sz w:val="20"/>
        </w:rPr>
        <w:t>12</w:t>
      </w:r>
      <w:r>
        <w:rPr>
          <w:rFonts w:ascii="Times New Roman" w:hAnsi="Times New Roman"/>
          <w:caps w:val="false"/>
          <w:smallCaps w:val="false"/>
          <w:sz w:val="20"/>
        </w:rPr>
        <w:t> times the monthly base rent scheduled for the lease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Residence Inn New Rochelle hotel property is subject to both an air rights lease and a garage lease, each with an expiration date of </w:t>
      </w:r>
      <w:r>
        <w:rPr>
          <w:rStyle w:val="Emphasis"/>
          <w:rFonts w:ascii="Times New Roman" w:hAnsi="Times New Roman"/>
          <w:caps w:val="false"/>
          <w:smallCaps w:val="false"/>
          <w:sz w:val="20"/>
        </w:rPr>
        <w:t xml:space="preserve"> December 1, 2104</w:t>
      </w:r>
      <w:r>
        <w:rPr>
          <w:rFonts w:ascii="Times New Roman" w:hAnsi="Times New Roman"/>
          <w:caps w:val="false"/>
          <w:smallCaps w:val="false"/>
          <w:sz w:val="20"/>
        </w:rPr>
        <w:t>. The lease agreements with the City of New Rochelle cover the space above the parking garage that is occupied by the hotel as well as 128 parking spaces in a parking garage that is attached to the hotel. The annual base rent for the garage lease is the hotel’s proportionate share of the city’s adopted budget for the operations, management and maintenance of the garage and established reserves to fund for the cost of capital repairs. Aggregate rent for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is approximately $33 thousand per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Hilton Garden Inn Marina del Rey hotel property is subject to a ground lease with an expiration date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2067.</w:t>
      </w:r>
      <w:r>
        <w:rPr>
          <w:rFonts w:ascii="Times New Roman" w:hAnsi="Times New Roman"/>
          <w:caps w:val="false"/>
          <w:smallCaps w:val="false"/>
          <w:sz w:val="20"/>
        </w:rPr>
        <w:t xml:space="preserve"> Minimum monthly payments are currently approximately $47 thousand per month and a percentage rent payment less the minimum rent is due in arrears equal to 5% to 25% of gross income based on the type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entered into a corporate office lease in </w:t>
      </w:r>
      <w:r>
        <w:rPr>
          <w:rStyle w:val="Emphasis"/>
          <w:rFonts w:ascii="Times New Roman" w:hAnsi="Times New Roman"/>
          <w:caps w:val="false"/>
          <w:smallCaps w:val="false"/>
          <w:sz w:val="20"/>
        </w:rPr>
        <w:t xml:space="preserve">September 2015. </w:t>
      </w:r>
      <w:r>
        <w:rPr>
          <w:rFonts w:ascii="Times New Roman" w:hAnsi="Times New Roman"/>
          <w:caps w:val="false"/>
          <w:smallCaps w:val="false"/>
          <w:sz w:val="20"/>
        </w:rPr>
        <w:t xml:space="preserve">The lease is for a term of 11 years and includes a 12-month rent abatement period and certain tenant improvement allowances. The Company has a renewal option of up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successive terms of five years each. On </w:t>
      </w:r>
      <w:r>
        <w:rPr>
          <w:rStyle w:val="Emphasis"/>
          <w:rFonts w:ascii="Times New Roman" w:hAnsi="Times New Roman"/>
          <w:caps w:val="false"/>
          <w:smallCaps w:val="false"/>
          <w:sz w:val="20"/>
        </w:rPr>
        <w:t xml:space="preserve">June 1, 2023, </w:t>
      </w:r>
      <w:r>
        <w:rPr>
          <w:rFonts w:ascii="Times New Roman" w:hAnsi="Times New Roman"/>
          <w:caps w:val="false"/>
          <w:smallCaps w:val="false"/>
          <w:sz w:val="20"/>
        </w:rPr>
        <w:t xml:space="preserve">the Company executed an amendment to the corporate office lease to vacate and surrender possession of 7,374 rentable square feet in exchange for an early termination payment of $0.1 million. The partial termination of this lease required the Company to apply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and remeasure the right of use asset and lease liability and recognize those adjustments in the consolidated statement of operations. The Company shares the space with a related party and is reimbursed for the pro-rata share of rentable space occupied by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entered into a new 10-year corporate office lease in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which was subsequently amended in </w:t>
      </w:r>
      <w:r>
        <w:rPr>
          <w:rStyle w:val="Emphasis"/>
          <w:rFonts w:ascii="Times New Roman" w:hAnsi="Times New Roman"/>
          <w:caps w:val="false"/>
          <w:smallCaps w:val="false"/>
          <w:sz w:val="20"/>
        </w:rPr>
        <w:t xml:space="preserve">September 2024, </w:t>
      </w:r>
      <w:r>
        <w:rPr>
          <w:rFonts w:ascii="Times New Roman" w:hAnsi="Times New Roman"/>
          <w:caps w:val="false"/>
          <w:smallCaps w:val="false"/>
          <w:sz w:val="20"/>
        </w:rPr>
        <w:t xml:space="preserve">that will commence when the Company takes possession of the space for leasehold improvements, on or before </w:t>
      </w:r>
      <w:r>
        <w:rPr>
          <w:rStyle w:val="Emphasis"/>
          <w:rFonts w:ascii="Times New Roman" w:hAnsi="Times New Roman"/>
          <w:caps w:val="false"/>
          <w:smallCaps w:val="false"/>
          <w:sz w:val="20"/>
        </w:rPr>
        <w:t xml:space="preserve">September 1, 2026. </w:t>
      </w:r>
      <w:r>
        <w:rPr>
          <w:rFonts w:ascii="Times New Roman" w:hAnsi="Times New Roman"/>
          <w:caps w:val="false"/>
          <w:smallCaps w:val="false"/>
          <w:sz w:val="20"/>
        </w:rPr>
        <w:t>Annual base rent will range from $0.6 million to $0.7 million over the term of the lease. The new office lease will be shared with a related party and the Company will be reimbursed for the pro-rata share of rentable space that will be occupied by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made $0.6 million of fixed lease payments and $0.4 million of variable lease payments, which are included in property taxes, ground rent and insurance in our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made $0.3 million of fixed lease payments related to its corporate office lease, which is included in general and administrative expense in our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Phoenix hotel property is subject to a Government Property Lease Excise Tax ("GPLET") agreement with the City of Phoenix. As part of the agreement, title of the hotel property was conveyed to the City of Phoenix and leased back to the Company for a term of 8 years with fixed annual rent payments ranging from $26 thousand to $81 thousand. Title of the hotel property will be re-conveyed to the Company 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cost at the expiration of the 8-year lease term. The GPLET agreement can be terminated by the lessee at any time for a fee of $0.1 million and title of the hotel property would be re-conveyed back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Phoenix ROU assets are recorded as finance lease assets within Investment in hotel properties, net and the lease liability is recorded within Lease liability in the Company’s consolidated balance sheet. Expenses related to the finance lease are included in depreciation and amortization and interest expense, in the Company’s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following table includes information regarding the ROU assets and lease liabilities of the Company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2135"/>
        <w:gridCol w:w="2795"/>
        <w:gridCol w:w="60"/>
        <w:gridCol w:w="284"/>
        <w:gridCol w:w="1340"/>
        <w:gridCol w:w="60"/>
        <w:gridCol w:w="60"/>
        <w:gridCol w:w="357"/>
        <w:gridCol w:w="1687"/>
        <w:gridCol w:w="60"/>
      </w:tblGrid>
      <w:tr>
        <w:trPr/>
        <w:tc>
          <w:tcPr>
            <w:tcW w:w="2135" w:type="dxa"/>
            <w:tcBorders/>
            <w:shd w:fill="FFFFFF" w:val="clear"/>
            <w:vAlign w:val="center"/>
          </w:tcPr>
          <w:p>
            <w:pPr>
              <w:pStyle w:val="TableContents"/>
              <w:bidi w:val="0"/>
              <w:spacing w:before="0" w:after="283"/>
              <w:jc w:val="left"/>
              <w:rPr/>
            </w:pPr>
            <w:r>
              <w:rPr/>
              <w:t> </w:t>
            </w:r>
          </w:p>
        </w:tc>
        <w:tc>
          <w:tcPr>
            <w:tcW w:w="27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ROU Asset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ROU Asset</w:t>
            </w:r>
          </w:p>
        </w:tc>
        <w:tc>
          <w:tcPr>
            <w:tcW w:w="60" w:type="dxa"/>
            <w:tcBorders/>
            <w:shd w:fill="FFFF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ind w:left="0" w:right="0" w:hanging="0"/>
              <w:jc w:val="left"/>
              <w:rPr/>
            </w:pPr>
            <w:r>
              <w:rPr/>
              <w:t> </w:t>
            </w:r>
          </w:p>
        </w:tc>
        <w:tc>
          <w:tcPr>
            <w:tcW w:w="27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 net</w:t>
            </w:r>
          </w:p>
        </w:tc>
        <w:tc>
          <w:tcPr>
            <w:tcW w:w="279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Investment in hotel properties,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40,943</w:t>
            </w:r>
          </w:p>
        </w:tc>
        <w:tc>
          <w:tcPr>
            <w:tcW w:w="6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279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Right of use asset, net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ROU asset, net</w:t>
            </w:r>
          </w:p>
        </w:tc>
        <w:tc>
          <w:tcPr>
            <w:tcW w:w="279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56,667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57,855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1985"/>
        <w:gridCol w:w="2405"/>
        <w:gridCol w:w="60"/>
        <w:gridCol w:w="282"/>
        <w:gridCol w:w="1342"/>
        <w:gridCol w:w="60"/>
        <w:gridCol w:w="60"/>
        <w:gridCol w:w="355"/>
        <w:gridCol w:w="1689"/>
        <w:gridCol w:w="60"/>
      </w:tblGrid>
      <w:tr>
        <w:trPr/>
        <w:tc>
          <w:tcPr>
            <w:tcW w:w="1985" w:type="dxa"/>
            <w:tcBorders/>
            <w:shd w:fill="FFFFFF" w:val="clear"/>
            <w:vAlign w:val="center"/>
          </w:tcPr>
          <w:p>
            <w:pPr>
              <w:pStyle w:val="TableContents"/>
              <w:bidi w:val="0"/>
              <w:spacing w:before="0" w:after="283"/>
              <w:jc w:val="left"/>
              <w:rPr/>
            </w:pPr>
            <w:r>
              <w:rPr/>
              <w:t> </w:t>
            </w:r>
          </w:p>
        </w:tc>
        <w:tc>
          <w:tcPr>
            <w:tcW w:w="24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ind w:left="0" w:right="0" w:hanging="0"/>
              <w:jc w:val="left"/>
              <w:rPr/>
            </w:pPr>
            <w:r>
              <w:rPr/>
              <w:t> </w:t>
            </w:r>
          </w:p>
        </w:tc>
        <w:tc>
          <w:tcPr>
            <w:tcW w:w="24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liability</w:t>
            </w:r>
          </w:p>
        </w:tc>
        <w:tc>
          <w:tcPr>
            <w:tcW w:w="240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240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lease liability</w:t>
            </w:r>
          </w:p>
        </w:tc>
        <w:tc>
          <w:tcPr>
            <w:tcW w:w="24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19,730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20,067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49" w:type="dxa"/>
        <w:jc w:val="left"/>
        <w:tblInd w:w="0" w:type="dxa"/>
        <w:tblLayout w:type="fixed"/>
        <w:tblCellMar>
          <w:top w:w="0" w:type="dxa"/>
          <w:left w:w="0" w:type="dxa"/>
          <w:bottom w:w="28" w:type="dxa"/>
          <w:right w:w="0" w:type="dxa"/>
        </w:tblCellMar>
      </w:tblPr>
      <w:tblGrid>
        <w:gridCol w:w="3815"/>
        <w:gridCol w:w="60"/>
        <w:gridCol w:w="131"/>
        <w:gridCol w:w="1058"/>
        <w:gridCol w:w="185"/>
      </w:tblGrid>
      <w:tr>
        <w:trPr/>
        <w:tc>
          <w:tcPr>
            <w:tcW w:w="38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 Term and Discount Rate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10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8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p>
        </w:tc>
        <w:tc>
          <w:tcPr>
            <w:tcW w:w="10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includes information regarding the Company's total minimum lease payments for which it is the lessee,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calendar years and thereafter (in thousands):</w:t>
      </w:r>
    </w:p>
    <w:p>
      <w:pPr>
        <w:pStyle w:val="TextBody"/>
        <w:bidi w:val="0"/>
        <w:spacing w:before="0" w:after="0"/>
        <w:ind w:left="0" w:right="0" w:hanging="0"/>
        <w:jc w:val="left"/>
        <w:rPr>
          <w:caps w:val="false"/>
          <w:smallCaps w:val="false"/>
        </w:rPr>
      </w:pPr>
      <w:r>
        <w:rPr>
          <w:caps w:val="false"/>
          <w:smallCaps w:val="false"/>
        </w:rPr>
        <w:t> </w:t>
      </w:r>
    </w:p>
    <w:tbl>
      <w:tblPr>
        <w:tblW w:w="3530" w:type="dxa"/>
        <w:jc w:val="left"/>
        <w:tblInd w:w="0" w:type="dxa"/>
        <w:tblLayout w:type="fixed"/>
        <w:tblCellMar>
          <w:top w:w="0" w:type="dxa"/>
          <w:left w:w="0" w:type="dxa"/>
          <w:bottom w:w="28" w:type="dxa"/>
          <w:right w:w="0" w:type="dxa"/>
        </w:tblCellMar>
      </w:tblPr>
      <w:tblGrid>
        <w:gridCol w:w="2600"/>
        <w:gridCol w:w="60"/>
        <w:gridCol w:w="125"/>
        <w:gridCol w:w="650"/>
        <w:gridCol w:w="95"/>
      </w:tblGrid>
      <w:tr>
        <w:trPr/>
        <w:tc>
          <w:tcPr>
            <w:tcW w:w="26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Future Lease Payments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59,765</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65,911</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(46,181</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19,730</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subject to various claims, lawsuits and legal proceedings, including routine litigation arising in the ordinary course of business, regarding the operation of its hotels, its managers and other Company matters. While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to ascertain the ultimate outcome of such matters, the Company believes that the aggregate identifiable amount of such liabilities, if any,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adverse impact on its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Management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management agreements with IHM have an initial term of five years and automatically renew for two five-year periods unless IHM provides written notice to 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later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prior to the then current term’s expiration date of its intent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renew. The IHM management agreements provide for early termination at the Company’s option upon sale of any IHM-managed hotel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termination fee, with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advance notice. The IHM management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terminated for cause, including the failure of the managed hotel to meet specified performance levels. Base management fees are calculated as a percentage of the hotel's gross room revenue. If certain financial thresholds are met or exceeded, an incentive management fee is calculated as 10% of the hotel's net operating income less fixed costs, base management fees and a specified return threshold. The incentive management fee is capped at 1% of gross hotel revenues for the applicable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Management fees totaled approximately $3.0 million and $2.7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$5.2 million and $5.0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fees associated with the franchise agreements are calculated as a specified percentage of the hotel's gross room revenue. Franchise and marketing fees totaled approximately $7.0 million and $6.4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$12.2 million and $11.9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initial term of the agreements range from 10 to 30 years with the weighted-average expiration being </w:t>
      </w:r>
      <w:r>
        <w:rPr>
          <w:rStyle w:val="Emphasis"/>
          <w:rFonts w:ascii="Times New Roman" w:hAnsi="Times New Roman"/>
          <w:caps w:val="false"/>
          <w:smallCaps w:val="false"/>
          <w:sz w:val="20"/>
        </w:rPr>
        <w:t>June 2038.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23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Jeffrey H. Fisher, the Company's Chairman, President and Chief Executive Officer, owns 100% of IHM.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hotel management agreements with IHM to manage all 39 of its hotels. Hotel management, revenue management and accounting fees accrued or paid to IHM for the hotels owned by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$3.0 million and $2.7 million, respectively, and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2025</w:t>
      </w:r>
      <w:r>
        <w:rPr>
          <w:rFonts w:ascii="Times New Roman" w:hAnsi="Times New Roman"/>
          <w:caps w:val="false"/>
          <w:smallCaps w:val="false"/>
          <w:sz w:val="20"/>
        </w:rPr>
        <w:t> were $5.2 million and $5.0 million, respectively.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amounts due to IHM were $0.9 million and $0.2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Cost reimbursements from related parties revenue represent reimbursements of costs incurred on behalf of IHM. These costs relate primarily to office expenses shared with IHM. Various shared office expenses and rent are paid by the Company and allocated to IHM based on the amount of square footage occupied by each entity. As the Company records cost reimbursements based upon costs incurred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added markup, the revenue and related expense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Company’s operating income or net income. Cost reimbursements are recorded based upon the occurrence of a reimbursed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evaluates the Company's hotels as a single reportable segment as a result of aggregating multiple operating segments, because all of the Company's hotels have similar economic characteristics and provide similar services to similar types of customers. Our single reportable segment comprises the structure used by our Chief Executive Officer, Chief Operating Officer and Chief Financial Officer, who collectively have been determined to be our Chief Operating Decision Maker ("CODM"), to make key operating decisions and assess performance. Our CODM evaluates our single reportable segment's operating performance based on individual hotel property net income (loss) before interest expense, income tax expense, depreciation and amortization, corporate general and administrative expense, impairment loss, loss on early extinguishment of debt, other charges, interest and other income, and gains or losses on sales of hotel properties ("Adjusted Hotel EBITDA"). Our single reportable segment's assets are consistent with total assets included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includes revenue, significant hotel operating expenses, and Adjusted Hotel EBITDA for the Company’s hotels, reconciled to Net income (in thousands):</w:t>
      </w:r>
    </w:p>
    <w:p>
      <w:pPr>
        <w:pStyle w:val="TextBody"/>
        <w:bidi w:val="0"/>
        <w:spacing w:before="0" w:after="0"/>
        <w:ind w:left="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4745"/>
        <w:gridCol w:w="60"/>
        <w:gridCol w:w="169"/>
        <w:gridCol w:w="878"/>
        <w:gridCol w:w="108"/>
        <w:gridCol w:w="81"/>
        <w:gridCol w:w="169"/>
        <w:gridCol w:w="878"/>
        <w:gridCol w:w="80"/>
        <w:gridCol w:w="60"/>
        <w:gridCol w:w="147"/>
        <w:gridCol w:w="821"/>
        <w:gridCol w:w="94"/>
        <w:gridCol w:w="70"/>
        <w:gridCol w:w="147"/>
        <w:gridCol w:w="821"/>
        <w:gridCol w:w="80"/>
      </w:tblGrid>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80,644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141,847</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135,814</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9,734</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hotel property level revenue (1)</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87,554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154,786</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148,403</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30,630</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29,786</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hotel operating</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14,291</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14,036</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marketing fees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11,866</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promotions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3,570</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6,163</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5,964</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and maintenance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7,530</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fees paid to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2,958</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4,975</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taxes, ground rent and insurance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5,282</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10,442</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hotel property level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51,825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97,657</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96,677</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Hotel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35,729</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57,129</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Reconciliation of Adjusted Hotel EBITDA to Net income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deferred fees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(13,103</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(15,726</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(30,505</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general and administrative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(4,590</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(9,239</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7,468</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difference between total hotel property level revenue and total revenue on the consolidated statements of operations is due to reimbursable costs from related parties of $0.3 million and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$0.5 million and $0.5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5" w:name="mda"/>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discussion and analysis should be read in conjunction with our consolidated financial statements and related notes included elsewhere in this report and in our Annual Report on Form 10-K for the year ended December 31, 2025. In this report, we use the terms “the Company,” “we” or “our” to refer to Chatham Lodging Trust and its consolidated subsidiaries, unless the context indicates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information contains forward-looking statements within the meaning of Section 27A of the Securities Act of 1933, as amended (the “Securities Act”), and Section 21E of the Securities Exchange Act of 1934, as amended (the “Exchange Act”). These forward-looking statements include information about possible or assumed future results of the lodging industry and our business, financial condition, liquidity, results of operations, cash flow and plans and objectives. These statements generally are characterized by the use of the words “believe,” “expect,” “anticipate,” “estimate,” “plan,” “continue,” “intend,” “should,” “may,” “will,” “could” or similar expressions. Although we believe that the expectations reflected in such forward-looking statements are based upon reasonable assumptions, such forward-looking statements relate to future events, our plans, strategies, prospects and future financial performance, and involve known and unknown risks that are difficult to predict, uncertainties and other factors that are, in some cases, beyond our control and which could differ materially from those set forth in the forward-looking statements. Important factors that we think could cause our actual results to differ materially from expected results are summarized below. Some factors that might cause such a difference include the following: local, national and global economic conditions, uncertainty surrounding the financial stability of the United States, Europe and China, increased direct competition, changes in government regulations or accounting rules, changes in local, national and global real estate conditions, declines in lodging industry fundamentals, increased operating costs, a potential recessionary environment, seasonality of the lodging industry, our ability to obtain debt and equity financing on satisfactory terms, changes in interest rates, our ability to identify suitable investments, our ability to close on identified investments, inaccuracies of our accounting estimates, the uncertainty and economic impact of pandemics like COVID-19, epidemics or other public health emergencies or fear of such events, the impact of and changes to various government programs, and our ability to dispose of selected hotel properties on the terms and timing we expect, if at all. Given these uncertainties, undue reliance should not be placed on such statements. We undertake no obligation to publicly release the results of any revisions to these forward-looking statements that may be made to reflect future events or circumstances or to reflect the occurrence of unanticipated events. The forward-looking statements should also be read in light of the risk factors identified in the “Risk Factors” section in the Company’s Annual Report on Form 10-K for the year ended December 31, 2025 as updated by the Company's subsequent filings with the SEC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self-advised hotel investment company organized in October 2009 that commenced operations in April 2010. Our investment strategy is to invest in upscale extended-stay and premium-branded select-service hotels in geographically diverse markets with high barriers to entry near strong demand generators. We may acquire portfolios of hotels or single hotels. We expect that a significant portion of our portfolio will consist of hotels in the upscale extended-stay or select-service categories, including brands such as Homewood Suites by Hilton®, Residence Inn by Marriott®, Hyatt Place®, Courtyard by Marriott®, SpringHill Suites by Marriott®, Hilton Garden Inn by Hilton®, Embassy Suites®, Hampton Inn®, Hampton Inn and Suites®, Home2 Suites by Hilton® and TownePlace Suites by Marriott®.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future hotel acquisitions may be funded by issuances of both common and preferred shares or the issuance of partnership interests in our operating partnership, Chatham Lodging, L.P. (the "Operating Partnership"), draw-downs under our revolving credit facility, the incurrence or assumption of debt, available cash, or proceeds from dispositions of assets. We intend to acquire quality assets at attractive prices and improve their returns through knowledgeable asset management and seasoned, proven hotel management while remaining prudently leveraged.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June 30, 2026, our leverage ratio was 24.1% measured as the ratio of our net debt (total debt outstanding before deferred financing costs less unrestricted cash and cash equivalents) to hotel investments at cost. Over the past several years, we have maintained a leverage ratio between the low 20s and the low 50s. As of June 30, 2026, we have total debt of $418.2 million at a weighted-average interest rate of approximately 5.84%.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real estate investment trust (“REIT”) for federal income tax purposes. In order to qualify as a REIT under the Internal Revenue Code of 1986, as amended (the “Code”), we cannot operate our hotels. Therefore, the Operating Partnership and its subsidiaries lease our hotel properties to taxable REIT subsidiary lessees (“TRS Lessees”), who in turn engage eligible independent contractors to manage the hotels. Each of the TRS Lessees is treated as a taxable REIT subsidiary for federal income tax purposes and is consolidated within our financial statements for accounting purposes. However, since we control both the Operating Partnership and the TRS Lessees, our principal source of funds on a consolidated basis is from the operations of our hotels. The earnings of the TRS Lessees are subject to taxation as regular C corporations, as defined in the Code, potentially reducing the TRS Lessees’ cash available to pay dividends to us, and therefore our funds from operations and the cash available for distribution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Indicators of Operating Performance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measure financial condition and hotel operating performance by evaluating non-financial and financial metrics and measures such as:</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0"/>
        <w:gridCol w:w="110"/>
        <w:gridCol w:w="7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Daily Rate (“ADR”), which is the quotient of room revenue divided by total rooms sold;</w:t>
            </w:r>
          </w:p>
        </w:tc>
      </w:tr>
    </w:tbl>
    <w:tbl>
      <w:tblPr>
        <w:tblW w:w="7210" w:type="dxa"/>
        <w:jc w:val="left"/>
        <w:tblInd w:w="0" w:type="dxa"/>
        <w:tblLayout w:type="fixed"/>
        <w:tblCellMar>
          <w:top w:w="0" w:type="dxa"/>
          <w:left w:w="0" w:type="dxa"/>
          <w:bottom w:w="0" w:type="dxa"/>
          <w:right w:w="0" w:type="dxa"/>
        </w:tblCellMar>
      </w:tblPr>
      <w:tblGrid>
        <w:gridCol w:w="60"/>
        <w:gridCol w:w="110"/>
        <w:gridCol w:w="70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Occupancy, which is the quotient of total rooms sold divided by total rooms available;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Per Available Room (“RevPAR”), which is the product of occupancy and ADR, and does not include food and beverage revenue, or other operating revenue;</w:t>
            </w:r>
          </w:p>
        </w:tc>
      </w:tr>
    </w:tbl>
    <w:tbl>
      <w:tblPr>
        <w:tblW w:w="2830" w:type="dxa"/>
        <w:jc w:val="left"/>
        <w:tblInd w:w="0" w:type="dxa"/>
        <w:tblLayout w:type="fixed"/>
        <w:tblCellMar>
          <w:top w:w="0" w:type="dxa"/>
          <w:left w:w="0" w:type="dxa"/>
          <w:bottom w:w="0" w:type="dxa"/>
          <w:right w:w="0" w:type="dxa"/>
        </w:tblCellMar>
      </w:tblPr>
      <w:tblGrid>
        <w:gridCol w:w="60"/>
        <w:gridCol w:w="110"/>
        <w:gridCol w:w="2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Funds From Operations (“FFO”);</w:t>
            </w:r>
          </w:p>
        </w:tc>
      </w:tr>
    </w:tbl>
    <w:tbl>
      <w:tblPr>
        <w:tblW w:w="1375" w:type="dxa"/>
        <w:jc w:val="left"/>
        <w:tblInd w:w="0" w:type="dxa"/>
        <w:tblLayout w:type="fixed"/>
        <w:tblCellMar>
          <w:top w:w="0" w:type="dxa"/>
          <w:left w:w="0" w:type="dxa"/>
          <w:bottom w:w="0" w:type="dxa"/>
          <w:right w:w="0" w:type="dxa"/>
        </w:tblCellMar>
      </w:tblPr>
      <w:tblGrid>
        <w:gridCol w:w="60"/>
        <w:gridCol w:w="110"/>
        <w:gridCol w:w="12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FFO;</w:t>
            </w:r>
          </w:p>
        </w:tc>
      </w:tr>
    </w:tbl>
    <w:tbl>
      <w:tblPr>
        <w:tblW w:w="6265" w:type="dxa"/>
        <w:jc w:val="left"/>
        <w:tblInd w:w="0" w:type="dxa"/>
        <w:tblLayout w:type="fixed"/>
        <w:tblCellMar>
          <w:top w:w="0" w:type="dxa"/>
          <w:left w:w="0" w:type="dxa"/>
          <w:bottom w:w="0" w:type="dxa"/>
          <w:right w:w="0" w:type="dxa"/>
        </w:tblCellMar>
      </w:tblPr>
      <w:tblGrid>
        <w:gridCol w:w="60"/>
        <w:gridCol w:w="110"/>
        <w:gridCol w:w="6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before interest, taxes, depreciation and amortization (“EBITDA”);</w:t>
            </w:r>
          </w:p>
        </w:tc>
      </w:tr>
    </w:tbl>
    <w:tbl>
      <w:tblPr>
        <w:tblW w:w="1120" w:type="dxa"/>
        <w:jc w:val="left"/>
        <w:tblInd w:w="0" w:type="dxa"/>
        <w:tblLayout w:type="fixed"/>
        <w:tblCellMar>
          <w:top w:w="0" w:type="dxa"/>
          <w:left w:w="0" w:type="dxa"/>
          <w:bottom w:w="0" w:type="dxa"/>
          <w:right w:w="0" w:type="dxa"/>
        </w:tblCellMar>
      </w:tblPr>
      <w:tblGrid>
        <w:gridCol w:w="60"/>
        <w:gridCol w:w="110"/>
        <w:gridCol w:w="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w:t>
            </w:r>
            <w:r>
              <w:rPr>
                <w:rFonts w:ascii="Times New Roman" w:hAnsi="Times New Roman"/>
                <w:i/>
                <w:caps w:val="false"/>
                <w:smallCaps w:val="false"/>
                <w:sz w:val="20"/>
              </w:rPr>
              <w:t>re;</w:t>
            </w:r>
          </w:p>
        </w:tc>
      </w:tr>
    </w:tbl>
    <w:tbl>
      <w:tblPr>
        <w:tblW w:w="2080" w:type="dxa"/>
        <w:jc w:val="left"/>
        <w:tblInd w:w="0" w:type="dxa"/>
        <w:tblLayout w:type="fixed"/>
        <w:tblCellMar>
          <w:top w:w="0" w:type="dxa"/>
          <w:left w:w="0" w:type="dxa"/>
          <w:bottom w:w="0" w:type="dxa"/>
          <w:right w:w="0" w:type="dxa"/>
        </w:tblCellMar>
      </w:tblPr>
      <w:tblGrid>
        <w:gridCol w:w="60"/>
        <w:gridCol w:w="110"/>
        <w:gridCol w:w="19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and</w:t>
            </w:r>
          </w:p>
        </w:tc>
      </w:tr>
    </w:tbl>
    <w:tbl>
      <w:tblPr>
        <w:tblW w:w="2215" w:type="dxa"/>
        <w:jc w:val="left"/>
        <w:tblInd w:w="0" w:type="dxa"/>
        <w:tblLayout w:type="fixed"/>
        <w:tblCellMar>
          <w:top w:w="0" w:type="dxa"/>
          <w:left w:w="0" w:type="dxa"/>
          <w:bottom w:w="0" w:type="dxa"/>
          <w:right w:w="0" w:type="dxa"/>
        </w:tblCellMar>
      </w:tblPr>
      <w:tblGrid>
        <w:gridCol w:w="60"/>
        <w:gridCol w:w="110"/>
        <w:gridCol w:w="20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Hotel EBITDA.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evaluate the hotels in our portfolio and potential acquisitions using these metrics to determine each hotel’s contribution toward providing income to our shareholders through increases in distributable cash flow and increasing long-term total returns through appreciation in the value of our common shares. RevPAR, ADR and Occupancy are hotel industry measures commonly used to evaluate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“Non-GAAP Financial Measures” for further discussion of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Industry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Smith Travel Research reported that U.S. lodging industry RevPAR increased 5.7% for the three months ended June 30, 2026, with RevPAR up 4.4% in April 2026, up 4.0% in May 2026 and up 8.4% in June 2026. We expect that during the remainder of 2026, lodging industry RevPAR will continue to increase modestly.</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Comparison of the three months ended June 30, 2026 to the three months ended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Results of operations for the three months ended June 30, 2026 include the operating activities of the hotels we owned during the period. We sold one hotel located in Houston, TX on April 22, 2025, and sold one hotel located in Billerica, MA on December 23, 2025. We acquired a portfolio of six hotels on March 3, 2026, which were located in Paducah, KY, Joplin, MO, and Effingham, IL. The changes in results described below were driven primarily by an increase in RevPAR, the sales of two hotels, the acquisition of six hotels and inflationary cost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 which consists primarily of room, food and beverage and other operating revenues from our hotels, was as follows for the periods indicated (dollars in thousands):</w:t>
      </w:r>
    </w:p>
    <w:p>
      <w:pPr>
        <w:pStyle w:val="TextBody"/>
        <w:bidi w:val="0"/>
        <w:spacing w:before="0" w:after="0"/>
        <w:ind w:left="0" w:right="0" w:hanging="0"/>
        <w:jc w:val="left"/>
        <w:rPr>
          <w:caps w:val="false"/>
          <w:smallCaps w:val="false"/>
        </w:rPr>
      </w:pPr>
      <w:r>
        <w:rPr>
          <w:caps w:val="false"/>
          <w:smallCaps w:val="false"/>
        </w:rPr>
        <w:t> </w:t>
      </w:r>
    </w:p>
    <w:tbl>
      <w:tblPr>
        <w:tblW w:w="7086" w:type="dxa"/>
        <w:jc w:val="left"/>
        <w:tblInd w:w="0" w:type="dxa"/>
        <w:tblLayout w:type="fixed"/>
        <w:tblCellMar>
          <w:top w:w="0" w:type="dxa"/>
          <w:left w:w="0" w:type="dxa"/>
          <w:bottom w:w="0" w:type="dxa"/>
          <w:right w:w="0" w:type="dxa"/>
        </w:tblCellMar>
      </w:tblPr>
      <w:tblGrid>
        <w:gridCol w:w="3200"/>
        <w:gridCol w:w="60"/>
        <w:gridCol w:w="207"/>
        <w:gridCol w:w="982"/>
        <w:gridCol w:w="89"/>
        <w:gridCol w:w="89"/>
        <w:gridCol w:w="207"/>
        <w:gridCol w:w="982"/>
        <w:gridCol w:w="60"/>
        <w:gridCol w:w="60"/>
        <w:gridCol w:w="108"/>
        <w:gridCol w:w="797"/>
        <w:gridCol w:w="245"/>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80,644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Reimbursable costs from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87,804</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80,294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revenue was $87.8 million for the three months ended June 30, 2026, up $7.5 million compared to total revenue of $80.3 million for the corresponding 2025 period. The increase in total revenue primarily was related to the 3.3% increase in same property RevPAR and the acquisition of six hotels in 2026, which contributed $7.3 million of revenue during the three months ended June 30, 2026. The increase was partially offset by the two hotels sold in 2025, which contributed zero revenue during the three months ended June 30, 2026, down from the $2.1 million that the sold hotels contributed for the corresponding 2025 period. Since all of our hotels are select-service or limited-service hotels, room revenue is the primary revenue source as these hotels do not have significant food and beverage revenue or large group conference facilities. Room revenue comprised 91.8% and 91.4% of total revenue for the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Food and beverage revenue was $1.6 million for the three months ended June 30, 2026, down $0.3 million compared to $1.9 million for the corresponding 2025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operating revenue is comprised of parking, meeting room, gift shop, in-room movie and other ancillary amenities revenue. Other operating revenue was $5.3 million and $4.8 million for the three months ended June 30, 2026 and 2025, respectively.</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Reimbursable costs from related parties were $0.3 million and $0.2 million for the three months ended June 30, 2026 and 2025, respectively. The cost reimbursements were offset by the reimbursed costs from related parties included in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table below, we present both actual and same property room revenue metrics. Actual Occupancy, ADR and RevPAR metrics reflect the performance of the hotels for the actual days such hotels were owned by the Company during the periods presented. Same property Occupancy, ADR and RevPAR reflect results for the hotels owned by us as of June 30, 2026 that have been in operation for a full year regardless of our ownership during the period presented. Results for the hotels for periods prior to our ownership were provided to us by prior owners and have not been adjusted by us.</w:t>
      </w:r>
    </w:p>
    <w:p>
      <w:pPr>
        <w:pStyle w:val="TextBody"/>
        <w:bidi w:val="0"/>
        <w:spacing w:before="0" w:after="0"/>
        <w:ind w:left="0" w:right="0" w:hanging="0"/>
        <w:jc w:val="left"/>
        <w:rPr>
          <w:caps w:val="false"/>
          <w:smallCaps w:val="false"/>
        </w:rPr>
      </w:pPr>
      <w:r>
        <w:rPr>
          <w:caps w:val="false"/>
          <w:smallCaps w:val="false"/>
        </w:rPr>
        <w:t> </w:t>
      </w:r>
    </w:p>
    <w:tbl>
      <w:tblPr>
        <w:tblW w:w="9434" w:type="dxa"/>
        <w:jc w:val="left"/>
        <w:tblInd w:w="0" w:type="dxa"/>
        <w:tblLayout w:type="fixed"/>
        <w:tblCellMar>
          <w:top w:w="0" w:type="dxa"/>
          <w:left w:w="0" w:type="dxa"/>
          <w:bottom w:w="0" w:type="dxa"/>
          <w:right w:w="0" w:type="dxa"/>
        </w:tblCellMar>
      </w:tblPr>
      <w:tblGrid>
        <w:gridCol w:w="935"/>
        <w:gridCol w:w="60"/>
        <w:gridCol w:w="226"/>
        <w:gridCol w:w="1068"/>
        <w:gridCol w:w="185"/>
        <w:gridCol w:w="60"/>
        <w:gridCol w:w="155"/>
        <w:gridCol w:w="734"/>
        <w:gridCol w:w="185"/>
        <w:gridCol w:w="60"/>
        <w:gridCol w:w="226"/>
        <w:gridCol w:w="1068"/>
        <w:gridCol w:w="185"/>
        <w:gridCol w:w="60"/>
        <w:gridCol w:w="155"/>
        <w:gridCol w:w="734"/>
        <w:gridCol w:w="185"/>
        <w:gridCol w:w="60"/>
        <w:gridCol w:w="196"/>
        <w:gridCol w:w="1098"/>
        <w:gridCol w:w="245"/>
        <w:gridCol w:w="60"/>
        <w:gridCol w:w="189"/>
        <w:gridCol w:w="1060"/>
        <w:gridCol w:w="245"/>
      </w:tblGrid>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0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245" w:type="dxa"/>
            <w:tcBorders/>
            <w:shd w:fill="FFFF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(35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 35 hotels)</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ADR</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RevPAR</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three months ended June 30, 2026 same property RevPAR increased 3.3% due to a decrease in occupancy of 0.5% and an increase in ADR of 3.9%. Same property RevPAR increased 1.8% in April 2026, decreased 0.8% in May 2026 and increased 8.7% in June 2026. Same property RevPAR was $147.11 in April 2026, $151.69 in May 2026 and $175.32 in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Hotel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operating expenses consist of the following for the periods indicated (dollars in thousands):</w:t>
      </w:r>
    </w:p>
    <w:p>
      <w:pPr>
        <w:pStyle w:val="TextBody"/>
        <w:bidi w:val="0"/>
        <w:spacing w:before="0" w:after="0"/>
        <w:ind w:left="0" w:right="0" w:hanging="0"/>
        <w:jc w:val="left"/>
        <w:rPr>
          <w:caps w:val="false"/>
          <w:smallCaps w:val="false"/>
        </w:rPr>
      </w:pPr>
      <w:r>
        <w:rPr>
          <w:caps w:val="false"/>
          <w:smallCaps w:val="false"/>
        </w:rPr>
        <w:t> </w:t>
      </w:r>
    </w:p>
    <w:tbl>
      <w:tblPr>
        <w:tblW w:w="6516" w:type="dxa"/>
        <w:jc w:val="left"/>
        <w:tblInd w:w="0" w:type="dxa"/>
        <w:tblLayout w:type="fixed"/>
        <w:tblCellMar>
          <w:top w:w="0" w:type="dxa"/>
          <w:left w:w="0" w:type="dxa"/>
          <w:bottom w:w="0" w:type="dxa"/>
          <w:right w:w="0" w:type="dxa"/>
        </w:tblCellMar>
      </w:tblPr>
      <w:tblGrid>
        <w:gridCol w:w="2615"/>
        <w:gridCol w:w="60"/>
        <w:gridCol w:w="207"/>
        <w:gridCol w:w="982"/>
        <w:gridCol w:w="89"/>
        <w:gridCol w:w="89"/>
        <w:gridCol w:w="207"/>
        <w:gridCol w:w="982"/>
        <w:gridCol w:w="60"/>
        <w:gridCol w:w="60"/>
        <w:gridCol w:w="123"/>
        <w:gridCol w:w="782"/>
        <w:gridCol w:w="2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operating expenses: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hotel operating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marketing fees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promotions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and maintenance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hotel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46,543</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43,020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operating expenses increased $3.5 million, or 8.2%, to $46.5 million for the three months ended June 30, 2026 from $43.0 million for the three months ended June 30, 2025. The increase in hotel operating expenses was related primarily to the acquisition of six hotels in 2026, which contributed $3.7 million in operating expenses during the three months ended June 30, 2026, and the impact of inflation. This was partially offset by the two sold hotels which contributed zero in operating expenses for the three months ended June 30, 2026, down from the $1.4 million that the sold hotels contributed for the corresponding 2025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Room expenses, which are the most significant component of hotel operating expenses, increased $1.6 million from $15.0 million for the three months ended June 30, 2025 to $16.6 million for the three months ended June 30, 2026. The increase in room expenses was related primarily to the increase in costs from the acquisition of six hotels and the impact of inflation, partially offset by the sales of two hotels.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remaining hotel operating expenses increased $1.8 million, from $28.1 million for the three months ended June 30, 2025 to $29.9 million for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 was $15.7 million and $15.4 million for the three months ended June 30, 2026 and 2025, respectively. The increase was primarily related to the acquisition of six hotels in 2026 partially offset by the sales of two hotels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Property Taxes, Ground Rent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property taxes, ground rent and insurance expenses decreased $0.8 million from $6.1 million for the three months ended June 30, 2025 to $5.3 million for the three months ended June 30, 2026. The decrease was primarily related to the sales of two hotels in 2025 and successful property tax appeals at multiple hotel properties, partially offset by the acquisition of six hotels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principally consist of employee-related costs, including base payroll, bonuses and amortization of share-based compensation expense. These expenses also include corporate operating costs, professional fees and trustees’ fees. Total general and administrative expenses (excluding amortization of share-based compensation of $1.5 million and $1.6 million for the three months ended June 30, 2026 and 2025, respectively) was $3.1 million for the three months ended June 30, 2026 versus $2.4 million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charges increased from zero for the three months ended June 30, 2025 to $26 thousand for the three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Reimbursable Costs from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Reimbursable costs from related parties, comprised of shared office expenses and rent, were $0.3 million and $0.2 million for the three months ended June 30, 2026 and 2025, respectively. The cost reimbursements were offset by the cost reimbursements from related parties included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Gain on Sale of Hotel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Gain on sale of hotel properties decreased $0.4 million to $10 thousand for the three months ended June 30, 2026 compared to $0.4 million for the three months ended June 30, 2025. The CY Houston hotel property was sold on April 22, 2025, which resulted in a gain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on cash and cash equivalents and other income was $23 thousand and $59 thousand for the three months ended June 30, 2026 and 2025,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Expense, Including Amortization of Deferred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increased $0.5 million from $6.4 million for the three months ended June 30, 2025 to $6.9 million for the three months ended June 30, 2026 and is comprised of the following (dollars in thousands):</w:t>
      </w:r>
    </w:p>
    <w:p>
      <w:pPr>
        <w:pStyle w:val="TextBody"/>
        <w:bidi w:val="0"/>
        <w:spacing w:before="0" w:after="0"/>
        <w:ind w:left="0" w:right="0" w:hanging="0"/>
        <w:jc w:val="left"/>
        <w:rPr>
          <w:caps w:val="false"/>
          <w:smallCaps w:val="false"/>
        </w:rPr>
      </w:pPr>
      <w:r>
        <w:rPr>
          <w:caps w:val="false"/>
          <w:smallCaps w:val="false"/>
        </w:rPr>
        <w:t> </w:t>
      </w:r>
    </w:p>
    <w:tbl>
      <w:tblPr>
        <w:tblW w:w="9111" w:type="dxa"/>
        <w:jc w:val="left"/>
        <w:tblInd w:w="0" w:type="dxa"/>
        <w:tblLayout w:type="fixed"/>
        <w:tblCellMar>
          <w:top w:w="0" w:type="dxa"/>
          <w:left w:w="0" w:type="dxa"/>
          <w:bottom w:w="0" w:type="dxa"/>
          <w:right w:w="0" w:type="dxa"/>
        </w:tblCellMar>
      </w:tblPr>
      <w:tblGrid>
        <w:gridCol w:w="5180"/>
        <w:gridCol w:w="60"/>
        <w:gridCol w:w="243"/>
        <w:gridCol w:w="946"/>
        <w:gridCol w:w="136"/>
        <w:gridCol w:w="102"/>
        <w:gridCol w:w="243"/>
        <w:gridCol w:w="946"/>
        <w:gridCol w:w="60"/>
        <w:gridCol w:w="60"/>
        <w:gridCol w:w="99"/>
        <w:gridCol w:w="806"/>
        <w:gridCol w:w="230"/>
      </w:tblGrid>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debt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 and term loan interest and unused fees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3,821</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finance lease liability</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8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interest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80"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6,903</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increase in interest expense was due to higher debt balances during the three months ended June 30, 2026 than during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was $0.1 million and zero for the three months ended June 30, 2026 and 2025, respectively. We are subject to income taxes based on the taxable income of our TRS Lessees at a combined federal and state tax rate of approximately 25%. The Company’s TRS continues to have cumulative three-year taxable losses and recognizes a full valuation allowance equal to 100% of the gross deferred tax assets due to the uncertainty of the TRS's ability to utilize these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 was $8.5 million for the three months ended June 30, 2026, compared to net income of $5.5 million for the three months ended June 30, 2025. The change in net income was primarily due to the factors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Comparison of the six months ended June 30, 2026 to the six months ended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Results of operations for the six months ended June 30, 2026 include the operating activities of the hotels we owned during the period. We sold one hotel located in Brentwood, TN on January 30, 2025, sold one hotel located in Houston, TX on March 17, 2025, sold one hotel located in Houston, TX on April 22, 2025, and sold one hotel located in Billerica, MA on December 23, 2025. We acquired a portfolio of six hotels on March 3, 2026, which were located in Paducah, KY, Joplin, MO, and Effingham, IL. The changes in results described below were driven primarily by an increase in RevPAR, the sales of four hotels, the acquisition of six hotels and inflationary cost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 which consists primarily of room, food and beverage and other operating revenues from our hotels, was as follows for the periods indicated (dollars in thousands):</w:t>
      </w:r>
    </w:p>
    <w:p>
      <w:pPr>
        <w:pStyle w:val="TextBody"/>
        <w:bidi w:val="0"/>
        <w:spacing w:before="0" w:after="0"/>
        <w:ind w:left="0" w:right="0" w:hanging="0"/>
        <w:jc w:val="left"/>
        <w:rPr>
          <w:caps w:val="false"/>
          <w:smallCaps w:val="false"/>
        </w:rPr>
      </w:pPr>
      <w:r>
        <w:rPr>
          <w:caps w:val="false"/>
          <w:smallCaps w:val="false"/>
        </w:rPr>
        <w:t> </w:t>
      </w:r>
    </w:p>
    <w:tbl>
      <w:tblPr>
        <w:tblW w:w="7052" w:type="dxa"/>
        <w:jc w:val="left"/>
        <w:tblInd w:w="0" w:type="dxa"/>
        <w:tblLayout w:type="fixed"/>
        <w:tblCellMar>
          <w:top w:w="0" w:type="dxa"/>
          <w:left w:w="0" w:type="dxa"/>
          <w:bottom w:w="0" w:type="dxa"/>
          <w:right w:w="0" w:type="dxa"/>
        </w:tblCellMar>
      </w:tblPr>
      <w:tblGrid>
        <w:gridCol w:w="3200"/>
        <w:gridCol w:w="60"/>
        <w:gridCol w:w="180"/>
        <w:gridCol w:w="1009"/>
        <w:gridCol w:w="72"/>
        <w:gridCol w:w="72"/>
        <w:gridCol w:w="180"/>
        <w:gridCol w:w="1009"/>
        <w:gridCol w:w="60"/>
        <w:gridCol w:w="60"/>
        <w:gridCol w:w="137"/>
        <w:gridCol w:w="768"/>
        <w:gridCol w:w="245"/>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141,847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Reimbursable costs from related parties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155,307</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148,929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revenue was $155.3 million for the six months ended June 30, 2026, up $6.4 million compared to total revenue of $148.9 million for the corresponding 2025 period. The increase in total revenue primarily was related to the 2.3% increase in same property RevPAR and the acquisition of six hotels in 2026, which contributed $9.5 million of revenue during the six months ended June 30, 2026. The increase was partially offset by the sale of four hotels in 2025, which contributed zero revenue during the six months ended June 30, 2026, down from the $6.3 million that the sold hotels contributed for the corresponding 2025 period. Since all of our hotels are select-service or limited-service hotels, room revenue is the primary revenue source as these hotels do not have significant food and beverage revenue or large group conference facilities. Room revenue comprised 91.3% and 91.2% of total revenue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Food and beverage revenue was $3.2 million for the six months ended June 30, 2026, down $0.3 million compared to $3.5 million for the corresponding 2025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operating revenue is comprised of parking, meeting room, gift shop, in-room movie and other ancillary amenities revenue. Other operating revenue was $9.7 million and $9.1 million for the six months ended June 30, 2026 and 2025, respectively.</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Reimbursable costs from related parties were $0.5 million and $0.5 million for the six months ended June 30, 2026 and 2025, respectively. The cost reimbursements were offset by the reimbursed costs from related parties included in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table below, we present both actual and same property room revenue metrics. Actual Occupancy, ADR and RevPAR metrics reflect the performance of the hotels for the actual days such hotels were owned by the Company during the periods presented. Same property Occupancy, ADR and RevPAR reflect results for the hotels owned by us as of June 30, 2026 that have been in operation for a full year regardless of our ownership during the period presented. Results for the hotels for periods prior to our ownership were provided to us by prior owners and have not been adjusted by us.</w:t>
      </w:r>
    </w:p>
    <w:p>
      <w:pPr>
        <w:pStyle w:val="TextBody"/>
        <w:bidi w:val="0"/>
        <w:spacing w:before="0" w:after="0"/>
        <w:ind w:left="0" w:right="0" w:hanging="0"/>
        <w:jc w:val="left"/>
        <w:rPr>
          <w:caps w:val="false"/>
          <w:smallCaps w:val="false"/>
        </w:rPr>
      </w:pPr>
      <w:r>
        <w:rPr>
          <w:caps w:val="false"/>
          <w:smallCaps w:val="false"/>
        </w:rPr>
        <w:t> </w:t>
      </w:r>
    </w:p>
    <w:tbl>
      <w:tblPr>
        <w:tblW w:w="9374" w:type="dxa"/>
        <w:jc w:val="left"/>
        <w:tblInd w:w="0" w:type="dxa"/>
        <w:tblLayout w:type="fixed"/>
        <w:tblCellMar>
          <w:top w:w="0" w:type="dxa"/>
          <w:left w:w="0" w:type="dxa"/>
          <w:bottom w:w="0" w:type="dxa"/>
          <w:right w:w="0" w:type="dxa"/>
        </w:tblCellMar>
      </w:tblPr>
      <w:tblGrid>
        <w:gridCol w:w="935"/>
        <w:gridCol w:w="60"/>
        <w:gridCol w:w="226"/>
        <w:gridCol w:w="1068"/>
        <w:gridCol w:w="185"/>
        <w:gridCol w:w="60"/>
        <w:gridCol w:w="155"/>
        <w:gridCol w:w="734"/>
        <w:gridCol w:w="185"/>
        <w:gridCol w:w="60"/>
        <w:gridCol w:w="226"/>
        <w:gridCol w:w="1068"/>
        <w:gridCol w:w="185"/>
        <w:gridCol w:w="60"/>
        <w:gridCol w:w="155"/>
        <w:gridCol w:w="734"/>
        <w:gridCol w:w="185"/>
        <w:gridCol w:w="60"/>
        <w:gridCol w:w="196"/>
        <w:gridCol w:w="1098"/>
        <w:gridCol w:w="245"/>
        <w:gridCol w:w="60"/>
        <w:gridCol w:w="221"/>
        <w:gridCol w:w="1028"/>
        <w:gridCol w:w="185"/>
      </w:tblGrid>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0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(37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hotels)</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(39 / 37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ADR</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RevPAR</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same property RevPAR increased 2.3% due to a decrease in occupancy of 0.3% and an increase in ADR of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Hotel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operating expenses consist of the following for the periods indicated (dollars in thousands):</w:t>
      </w:r>
    </w:p>
    <w:p>
      <w:pPr>
        <w:pStyle w:val="TextBody"/>
        <w:bidi w:val="0"/>
        <w:spacing w:before="0" w:after="0"/>
        <w:ind w:left="0" w:right="0" w:hanging="0"/>
        <w:jc w:val="left"/>
        <w:rPr>
          <w:caps w:val="false"/>
          <w:smallCaps w:val="false"/>
        </w:rPr>
      </w:pPr>
      <w:r>
        <w:rPr>
          <w:caps w:val="false"/>
          <w:smallCaps w:val="false"/>
        </w:rPr>
        <w:t> </w:t>
      </w:r>
    </w:p>
    <w:tbl>
      <w:tblPr>
        <w:tblW w:w="6472" w:type="dxa"/>
        <w:jc w:val="left"/>
        <w:tblInd w:w="0" w:type="dxa"/>
        <w:tblLayout w:type="fixed"/>
        <w:tblCellMar>
          <w:top w:w="0" w:type="dxa"/>
          <w:left w:w="0" w:type="dxa"/>
          <w:bottom w:w="0" w:type="dxa"/>
          <w:right w:w="0" w:type="dxa"/>
        </w:tblCellMar>
      </w:tblPr>
      <w:tblGrid>
        <w:gridCol w:w="2600"/>
        <w:gridCol w:w="60"/>
        <w:gridCol w:w="207"/>
        <w:gridCol w:w="982"/>
        <w:gridCol w:w="82"/>
        <w:gridCol w:w="82"/>
        <w:gridCol w:w="207"/>
        <w:gridCol w:w="982"/>
        <w:gridCol w:w="60"/>
        <w:gridCol w:w="60"/>
        <w:gridCol w:w="123"/>
        <w:gridCol w:w="782"/>
        <w:gridCol w:w="245"/>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operating expenses: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hotel operating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marketing fees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promotions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and maintenance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hotel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87,215</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84,800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operating expenses increased $2.4 million, or 2.8%, to $87.2 million for the six months ended June 30, 2026 from $84.8 million for the six months ended June 30, 2025. The increase in hotel operating expenses was primarily related to the acquisition of six hotels in 2026, which contributed $4.8 million in operating expenses during the six months ended June 30, 2026, and the impact of inflation. This was partially offset by the four hotels sold which contributed zero in operating expenses for the six months ended June 30, 2026, down from the $4.2 million that the sold hotels contributed for the corresponding 2025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Room expenses, which are the most significant component of hotel operating expenses, increased $0.8 million from $29.8 million for the six months ended June 30, 2025 to $30.6 million for the six months ended June 30, 2026. The increase in room expenses was related primarily to the acquisition of six hotels and the impact of inflation, partially offset by the decrease in costs from the sales of four hotels.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remaining hotel operating expenses increased $1.6 million, from $55.0 million for the six months ended June 30, 2025 to $56.6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 was $30.5 million and $30.4 million for the six months ended June 30, 2026 and 2025, respectively. The increase was primarily related to the acquisition of six hotels in 2026 partially offset by the sales of four hotels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Property Taxes, Ground Rent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property taxes, ground rent and insurance expenses decreased $1.5 million from $11.9 million for the six months ended June 30, 2025 to $10.4 million for the six months ended June 30, 2026. The decrease was primarily related to the sales of four hotels in 2025 and successful property tax appeals at multiple hotel properties, partially offset by the acquisition of six hotels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principally consist of employee-related costs, including base payroll, bonuses and amortization of share-based compensation expense. These expenses also include corporate operating costs, professional fees and trustees’ fees. Total general and administrative expenses (excluding amortization of share-based compensation of $3.0 million and $3.2 million for the six months ended June 30, 2026 and 2025, respectively) was $6.2 million for the six months ended June 30, 2026 versus $5.4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charges increased from $7 thousand for the six months ended June 30, 2025 to $0.5 million for the six months ended June 30, 2026 due to additional audit fees related to the acquisition of six hotels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Reimbursable Costs from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Reimbursable costs from related parties, comprised of shared office expenses and rent, were  $0.5 million and $0.5 million for the six months ended June 30, 2026 and 2025, respectively. The cost reimbursements were offset by the cost reimbursements from related parties included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Gain on Sale of Hotel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Gain on sale of hotel properties decreased $7.4 million to $0.1 million for the six months ended June 30, 2026 compared to $7.5 million for the six months ended June 30, 2025. The HWS Brentwood hotel property was sold on January 30, 2025, the HI Houston hotel property was sold on March 17, 2025, and the CY Houston hotel property was sold on April 22, 2025 which resulted in a total gain of $7.5 million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on cash and cash equivalents and other income was $0.1 million and $0.1 million for the six months ended June 30, 2026 and 2025,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Expense, Including Amortization of Deferred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decreased $0.2 million from $13.3 million for the six months ended June 30, 2025 to $13.1 million for the six months ended June 30, 2026 and is comprised of the following (dollars in thousands):</w:t>
      </w:r>
    </w:p>
    <w:p>
      <w:pPr>
        <w:pStyle w:val="TextBody"/>
        <w:bidi w:val="0"/>
        <w:spacing w:before="0" w:after="0"/>
        <w:ind w:left="0" w:right="0" w:hanging="0"/>
        <w:jc w:val="left"/>
        <w:rPr>
          <w:caps w:val="false"/>
          <w:smallCaps w:val="false"/>
        </w:rPr>
      </w:pPr>
      <w:r>
        <w:rPr>
          <w:caps w:val="false"/>
          <w:smallCaps w:val="false"/>
        </w:rPr>
        <w:t> </w:t>
      </w:r>
    </w:p>
    <w:tbl>
      <w:tblPr>
        <w:tblW w:w="9092" w:type="dxa"/>
        <w:jc w:val="left"/>
        <w:tblInd w:w="0" w:type="dxa"/>
        <w:tblLayout w:type="fixed"/>
        <w:tblCellMar>
          <w:top w:w="0" w:type="dxa"/>
          <w:left w:w="0" w:type="dxa"/>
          <w:bottom w:w="0" w:type="dxa"/>
          <w:right w:w="0" w:type="dxa"/>
        </w:tblCellMar>
      </w:tblPr>
      <w:tblGrid>
        <w:gridCol w:w="5165"/>
        <w:gridCol w:w="60"/>
        <w:gridCol w:w="207"/>
        <w:gridCol w:w="982"/>
        <w:gridCol w:w="108"/>
        <w:gridCol w:w="81"/>
        <w:gridCol w:w="207"/>
        <w:gridCol w:w="982"/>
        <w:gridCol w:w="60"/>
        <w:gridCol w:w="60"/>
        <w:gridCol w:w="99"/>
        <w:gridCol w:w="806"/>
        <w:gridCol w:w="275"/>
      </w:tblGrid>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debt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5,209</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 and term loan interest and unused fees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finance lease liability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interest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27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13,103</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13,266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decrease in interest expense was due to lower floating SOFR-based interest rates during the six months ended June 30, 2026 than during the six months ended June 30, 2025, partially offset by increased amortization of deferred financing costs from the new revolving credit facility and term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was $0.1 million and zero for the six months ended June 30, 2026 and 2025, respectively. We are subject to income taxes based on the taxable income of our TRS Lessees at a combined federal and state tax rate of approximately 25%. The Company’s TRS continues to have cumulative three-year taxable losses and recognizes a full valuation allowance equal to 100% of the gross deferred tax assets due to the uncertainty of the TRS's ability to utilize these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 was $4.0 million for the six months ended June 30, 2026, compared to net income of $7.0 million for the six months ended June 30, 2025. The change in net income was primarily due to the factors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Non-GAAP Financial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consider the following non-GAAP financial measures useful to investors as key supplemental measures of our operating performance: (1) FFO, (2) Adjusted FFO, (3) EBITDA, (4) EBITDA</w:t>
      </w:r>
      <w:r>
        <w:rPr>
          <w:rFonts w:ascii="Times New Roman" w:hAnsi="Times New Roman"/>
          <w:i/>
          <w:caps w:val="false"/>
          <w:smallCaps w:val="false"/>
          <w:sz w:val="20"/>
        </w:rPr>
        <w:t>re</w:t>
      </w:r>
      <w:r>
        <w:rPr>
          <w:rFonts w:ascii="Times New Roman" w:hAnsi="Times New Roman"/>
          <w:caps w:val="false"/>
          <w:smallCaps w:val="false"/>
          <w:sz w:val="20"/>
        </w:rPr>
        <w:t>, (5) Adjusted EBITDA and (6) Adjusted Hotel EBITDA. These non-GAAP financial measures should be considered along with, but not as alternatives to, net income or loss as prescribed by GAAP as a measure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represent cash generated from operating activities under GAAP and should not be considered as alternatives to net income or loss, cash flows from operations or any other operating performance measure prescribed by GAAP.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are not measures of our liquidity, nor are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indicative of funds available to fund our cash needs, including our ability to make cash distributions. These measurements do not reflect cash expenditures for long-term assets and other items that have been and will be incurred.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may include funds that may not be available for management’s discretionary use due to functional requirements to conserve funds for capital expenditures, property acquisitions, and other commitments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calculate FFO in accordance with standards established by Nareit, which defines FFO as net income or loss (calculated in accordance with GAAP), excluding gains or losses from sales of real estate, impairment write-downs, the cumulative effect of changes in accounting principles, plus depreciation and amortization (excluding amortization of deferred financing costs), and after adjustments for unconsolidated partnerships and joint ventures following the same approach. We believe that the presentation of FFO provides useful information to investors regarding our operating performance because it measures our performance without regard to specified non-cash items such as real estate depreciation and amortization, gain or loss on sale of real estate assets and certain other items that we believe are not indicative of the property level performance of our hotel properties. We believe that these items reflect historical cost of our asset base and our acquisition and disposition activities and are less reflective of our ongoing operations, and that by adjusting to exclude the effects of these items, FFO is useful to investors in comparing our operating performance between periods and between REITs that also report FFO using the Nareit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calculate Adjusted FFO by further adjusting FFO for certain additional items that are not addressed in Nareit’s definition of FFO, including other charges, losses on the early extinguishment of debt and similar items related to unconsolidated real estate entities that we believe do not represent costs related to hotel operations. We believe that Adjusted FFO provides investors with another financial measure that may facilitate comparisons of operating performance between periods and between REITs that make similar adjustments to FFO.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net income (loss) to FFO and Adjusted FFO for the three and six months ended June 30, 2026 and 2025 (in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3"/>
        <w:gridCol w:w="60"/>
        <w:gridCol w:w="125"/>
        <w:gridCol w:w="959"/>
        <w:gridCol w:w="80"/>
        <w:gridCol w:w="60"/>
        <w:gridCol w:w="125"/>
        <w:gridCol w:w="959"/>
        <w:gridCol w:w="80"/>
        <w:gridCol w:w="60"/>
        <w:gridCol w:w="125"/>
        <w:gridCol w:w="950"/>
        <w:gridCol w:w="80"/>
        <w:gridCol w:w="60"/>
        <w:gridCol w:w="125"/>
        <w:gridCol w:w="950"/>
        <w:gridCol w:w="84"/>
      </w:tblGrid>
      <w:tr>
        <w:trPr/>
        <w:tc>
          <w:tcPr>
            <w:tcW w:w="5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84" w:type="dxa"/>
            <w:tcBorders/>
            <w:shd w:fill="FFFF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Funds From Operations (“FFO”):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4" w:type="dxa"/>
            <w:tcBorders/>
            <w:shd w:fill="FFFFFF" w:val="cle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dividends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shares and common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w:t>
            </w:r>
          </w:p>
        </w:tc>
        <w:tc>
          <w:tcPr>
            <w:tcW w:w="84" w:type="dxa"/>
            <w:tcBorders/>
            <w:shd w:fill="FFFFFF" w:val="cle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(7,468</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hotel properties owned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29,355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FFO attributable to common share and unit 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24,929</w:t>
            </w:r>
          </w:p>
        </w:tc>
        <w:tc>
          <w:tcPr>
            <w:tcW w:w="84" w:type="dxa"/>
            <w:tcBorders/>
            <w:shd w:fill="CCEE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3,164</w:t>
            </w:r>
          </w:p>
        </w:tc>
        <w:tc>
          <w:tcPr>
            <w:tcW w:w="84" w:type="dxa"/>
            <w:tcBorders/>
            <w:shd w:fill="FFFFFF" w:val="cle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finance lease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84" w:type="dxa"/>
            <w:tcBorders/>
            <w:shd w:fill="CCEE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FFO attributable to common share and unit 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29,070</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and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48,386,443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50,724,620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48,677,664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50,718,282</w:t>
            </w:r>
          </w:p>
        </w:tc>
        <w:tc>
          <w:tcPr>
            <w:tcW w:w="84" w:type="dxa"/>
            <w:tcBorders/>
            <w:shd w:fill="CCEE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49,665,241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51,291,617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50,002,171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51,724,211</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Diluted weighted average common share and unit count used for calculation of Adjusted FFO per share may differ from diluted weighted average common share count used for calculation of GAAP Net Income per share due to the inclusion of LTIP units, which may be converted to common shares of beneficial interest if Net Income per share is negative and Adjusted FFO is positive. Unvested restricted shares and unvested LTIP units that could potentially dilute basic earnings per share in the future would not be included in the computation of diluted loss per share for the periods where a loss has been recorded because they would have been anti-dilutive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Earnings before interest, taxes, depreciation and amortization ("EBITDA") is defined as net income or loss excluding: (1) interest expense; (2) provision for income taxes, including income taxes applicable to sales of assets; (3) depreciation and amortization; and (4) unconsolidated real estate entity items including interest, depreciation and amortization excluding gains and losses from sales of real estate. We consider EBITDA useful to an investor in evaluating and facilitating comparisons of our operating performance between periods and between REITs by removing the impact of our capital structure (primarily interest expense) and asset base (primarily depreciation and amortization) from our operating results. In addition, EBITDA is used as one measure in determining the value of hotel acquisitions and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EBITDA, we present EBITDA</w:t>
      </w:r>
      <w:r>
        <w:rPr>
          <w:rFonts w:ascii="Times New Roman" w:hAnsi="Times New Roman"/>
          <w:i/>
          <w:caps w:val="false"/>
          <w:smallCaps w:val="false"/>
          <w:sz w:val="20"/>
        </w:rPr>
        <w:t>re</w:t>
      </w:r>
      <w:r>
        <w:rPr>
          <w:rFonts w:ascii="Times New Roman" w:hAnsi="Times New Roman"/>
          <w:caps w:val="false"/>
          <w:smallCaps w:val="false"/>
          <w:sz w:val="20"/>
        </w:rPr>
        <w:t xml:space="preserve"> in accordance with Nareit guidelines, which defines EBITDA</w:t>
      </w:r>
      <w:r>
        <w:rPr>
          <w:rFonts w:ascii="Times New Roman" w:hAnsi="Times New Roman"/>
          <w:i/>
          <w:caps w:val="false"/>
          <w:smallCaps w:val="false"/>
          <w:sz w:val="20"/>
        </w:rPr>
        <w:t xml:space="preserve">re </w:t>
      </w:r>
      <w:r>
        <w:rPr>
          <w:rFonts w:ascii="Times New Roman" w:hAnsi="Times New Roman"/>
          <w:caps w:val="false"/>
          <w:smallCaps w:val="false"/>
          <w:sz w:val="20"/>
        </w:rPr>
        <w:t>as net income or loss excluding interest expense, income tax expense, depreciation and amortization expense, gains or losses from sales of real estate, impairment, and adjustments for unconsolidated joint ventures. We believe that the presentation of EBITDA</w:t>
      </w:r>
      <w:r>
        <w:rPr>
          <w:rFonts w:ascii="Times New Roman" w:hAnsi="Times New Roman"/>
          <w:i/>
          <w:caps w:val="false"/>
          <w:smallCaps w:val="false"/>
          <w:sz w:val="20"/>
        </w:rPr>
        <w:t>re</w:t>
      </w:r>
      <w:r>
        <w:rPr>
          <w:rFonts w:ascii="Times New Roman" w:hAnsi="Times New Roman"/>
          <w:caps w:val="false"/>
          <w:smallCaps w:val="false"/>
          <w:sz w:val="20"/>
        </w:rPr>
        <w:t xml:space="preserve"> provides useful information to investors regarding the Company's operating performance and can facilitate comparisons of operating performance between periods and between REITs.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present Adjusted EBITDA, which includes additional adjustments for items such as other charges, gains or losses on extinguishment of indebtedness, the amortization of share-based compensation, and certain other expenses that we consider outside the normal course of operations. We believe that Adjusted EBITDA provides useful supplemental information to investors regarding our ongoing operating performance that, when considered with net income, EBITDA and EBITDA</w:t>
      </w:r>
      <w:r>
        <w:rPr>
          <w:rFonts w:ascii="Times New Roman" w:hAnsi="Times New Roman"/>
          <w:i/>
          <w:caps w:val="false"/>
          <w:smallCaps w:val="false"/>
          <w:sz w:val="20"/>
        </w:rPr>
        <w:t>re</w:t>
      </w:r>
      <w:r>
        <w:rPr>
          <w:rFonts w:ascii="Times New Roman" w:hAnsi="Times New Roman"/>
          <w:caps w:val="false"/>
          <w:smallCaps w:val="false"/>
          <w:sz w:val="20"/>
        </w:rPr>
        <w:t>, is beneficial to an investor's understanding of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net income (loss) to EBITDA, EBITDA</w:t>
      </w:r>
      <w:r>
        <w:rPr>
          <w:rFonts w:ascii="Times New Roman" w:hAnsi="Times New Roman"/>
          <w:i/>
          <w:caps w:val="false"/>
          <w:smallCaps w:val="false"/>
          <w:sz w:val="20"/>
        </w:rPr>
        <w:t>re</w:t>
      </w:r>
      <w:r>
        <w:rPr>
          <w:rFonts w:ascii="Times New Roman" w:hAnsi="Times New Roman"/>
          <w:caps w:val="false"/>
          <w:smallCaps w:val="false"/>
          <w:sz w:val="20"/>
        </w:rPr>
        <w:t xml:space="preserve"> and Adjusted EBITDA for the 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0"/>
        <w:gridCol w:w="60"/>
        <w:gridCol w:w="176"/>
        <w:gridCol w:w="835"/>
        <w:gridCol w:w="112"/>
        <w:gridCol w:w="84"/>
        <w:gridCol w:w="176"/>
        <w:gridCol w:w="835"/>
        <w:gridCol w:w="80"/>
        <w:gridCol w:w="60"/>
        <w:gridCol w:w="162"/>
        <w:gridCol w:w="771"/>
        <w:gridCol w:w="104"/>
        <w:gridCol w:w="78"/>
        <w:gridCol w:w="162"/>
        <w:gridCol w:w="771"/>
        <w:gridCol w:w="89"/>
      </w:tblGrid>
      <w:tr>
        <w:trPr/>
        <w:tc>
          <w:tcPr>
            <w:tcW w:w="5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89" w:type="dxa"/>
            <w:tcBorders/>
            <w:shd w:fill="FFFFFF" w:val="clear"/>
            <w:vAlign w:val="center"/>
          </w:tcPr>
          <w:p>
            <w:pPr>
              <w:pStyle w:val="TableContents"/>
              <w:bidi w:val="0"/>
              <w:spacing w:before="0" w:after="283"/>
              <w:jc w:val="left"/>
              <w:rPr/>
            </w:pPr>
            <w:r>
              <w:rPr/>
              <w:t> </w:t>
            </w:r>
          </w:p>
        </w:tc>
      </w:tr>
      <w:tr>
        <w:trPr/>
        <w:tc>
          <w:tcPr>
            <w:tcW w:w="5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Interest, Taxes, Depreciation and Amortization (“EBITDA”):</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9" w:type="dxa"/>
            <w:tcBorders/>
            <w:shd w:fill="FFFFFF" w:val="clear"/>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deferred fees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13,103</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13,266</w:t>
            </w:r>
          </w:p>
        </w:tc>
        <w:tc>
          <w:tcPr>
            <w:tcW w:w="89" w:type="dxa"/>
            <w:tcBorders/>
            <w:shd w:fill="CCEEFF" w:val="clear"/>
            <w:vAlign w:val="center"/>
          </w:tcPr>
          <w:p>
            <w:pPr>
              <w:pStyle w:val="TableContents"/>
              <w:bidi w:val="0"/>
              <w:spacing w:before="0" w:after="283"/>
              <w:jc w:val="left"/>
              <w:rPr/>
            </w:pPr>
            <w:r>
              <w:rPr/>
              <w:t> </w:t>
            </w:r>
          </w:p>
        </w:tc>
      </w:tr>
      <w:tr>
        <w:trPr/>
        <w:tc>
          <w:tcPr>
            <w:tcW w:w="5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15,726</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30,505</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30,426</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47,641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50,709</w:t>
            </w:r>
          </w:p>
        </w:tc>
        <w:tc>
          <w:tcPr>
            <w:tcW w:w="89" w:type="dxa"/>
            <w:tcBorders/>
            <w:shd w:fill="FFFFFF" w:val="clear"/>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(7,468</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EBITDAre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47,510</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43,241</w:t>
            </w:r>
          </w:p>
        </w:tc>
        <w:tc>
          <w:tcPr>
            <w:tcW w:w="89" w:type="dxa"/>
            <w:tcBorders/>
            <w:shd w:fill="FFFFFF" w:val="clear"/>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9" w:type="dxa"/>
            <w:tcBorders/>
            <w:shd w:fill="CCEEFF" w:val="clear"/>
            <w:vAlign w:val="center"/>
          </w:tcPr>
          <w:p>
            <w:pPr>
              <w:pStyle w:val="TableContents"/>
              <w:bidi w:val="0"/>
              <w:spacing w:before="0" w:after="283"/>
              <w:jc w:val="left"/>
              <w:rPr/>
            </w:pPr>
            <w:r>
              <w:rPr/>
              <w:t> </w:t>
            </w:r>
          </w:p>
        </w:tc>
      </w:tr>
      <w:tr>
        <w:trPr/>
        <w:tc>
          <w:tcPr>
            <w:tcW w:w="5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32,665</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51,026</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46,412</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Hotel EBITDA is defined as net income before interest, income taxes, depreciation and amortization, corporate general and administrative, impairment loss, loss on early extinguishment of debt, other charges, interest and other income, losses on sales of hotel properties and income or loss from unconsolidated real estate entities. We present Adjusted Hotel EBITDA because we believe it is useful to investors in comparing our hotel operating performance between periods and comparing our Adjusted Hotel EBITDA to those of our peer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presentation of, and a reconciliation of net income (loss) to, Adjusted Hotel EBITDA for the 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9713" w:type="dxa"/>
        <w:jc w:val="left"/>
        <w:tblInd w:w="0" w:type="dxa"/>
        <w:tblLayout w:type="fixed"/>
        <w:tblCellMar>
          <w:top w:w="0" w:type="dxa"/>
          <w:left w:w="0" w:type="dxa"/>
          <w:bottom w:w="0" w:type="dxa"/>
          <w:right w:w="0" w:type="dxa"/>
        </w:tblCellMar>
      </w:tblPr>
      <w:tblGrid>
        <w:gridCol w:w="440"/>
        <w:gridCol w:w="4565"/>
        <w:gridCol w:w="60"/>
        <w:gridCol w:w="184"/>
        <w:gridCol w:w="869"/>
        <w:gridCol w:w="117"/>
        <w:gridCol w:w="88"/>
        <w:gridCol w:w="184"/>
        <w:gridCol w:w="869"/>
        <w:gridCol w:w="80"/>
        <w:gridCol w:w="60"/>
        <w:gridCol w:w="168"/>
        <w:gridCol w:w="796"/>
        <w:gridCol w:w="108"/>
        <w:gridCol w:w="81"/>
        <w:gridCol w:w="168"/>
        <w:gridCol w:w="796"/>
        <w:gridCol w:w="80"/>
      </w:tblGrid>
      <w:tr>
        <w:trPr/>
        <w:tc>
          <w:tcPr>
            <w:tcW w:w="44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80"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0"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w:t>
            </w:r>
          </w:p>
        </w:tc>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deferred fees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13,266</w:t>
            </w:r>
          </w:p>
        </w:tc>
        <w:tc>
          <w:tcPr>
            <w:tcW w:w="80"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283"/>
              <w:ind w:left="0" w:right="0" w:hanging="0"/>
              <w:jc w:val="left"/>
              <w:rPr/>
            </w:pPr>
            <w:r>
              <w:rPr/>
              <w:t> </w:t>
            </w:r>
          </w:p>
        </w:tc>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15,726</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30,426</w:t>
            </w:r>
          </w:p>
        </w:tc>
        <w:tc>
          <w:tcPr>
            <w:tcW w:w="80"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ind w:left="0" w:right="0" w:hanging="0"/>
              <w:jc w:val="left"/>
              <w:rPr/>
            </w:pPr>
            <w:r>
              <w:rPr/>
              <w:t> </w:t>
            </w:r>
          </w:p>
        </w:tc>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general and administrative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4,590</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8,599</w:t>
            </w:r>
          </w:p>
        </w:tc>
        <w:tc>
          <w:tcPr>
            <w:tcW w:w="80"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283"/>
              <w:ind w:left="0" w:right="0" w:hanging="0"/>
              <w:jc w:val="left"/>
              <w:rPr/>
            </w:pPr>
            <w:r>
              <w:rPr/>
              <w:t> </w:t>
            </w:r>
          </w:p>
        </w:tc>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vAlign w:val="center"/>
          </w:tcPr>
          <w:p>
            <w:pPr>
              <w:pStyle w:val="TableContents"/>
              <w:bidi w:val="0"/>
              <w:spacing w:before="0" w:after="283"/>
              <w:ind w:left="0" w:right="0" w:hanging="0"/>
              <w:jc w:val="left"/>
              <w:rPr/>
            </w:pPr>
            <w:r>
              <w:rPr/>
              <w:t> </w:t>
            </w:r>
          </w:p>
        </w:tc>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vAlign w:val="center"/>
          </w:tcPr>
          <w:p>
            <w:pPr>
              <w:pStyle w:val="TableContents"/>
              <w:bidi w:val="0"/>
              <w:spacing w:before="0" w:after="283"/>
              <w:ind w:left="0" w:right="0" w:hanging="0"/>
              <w:jc w:val="left"/>
              <w:rPr/>
            </w:pPr>
            <w:r>
              <w:rPr/>
              <w:t> </w:t>
            </w:r>
          </w:p>
        </w:tc>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Hotel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35,729</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57,129</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present 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because we believe they are useful to investors in comparing our operating performance between periods and between REITs that report similar measures, these measures have limitations as analytical tools.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do not reflect our cash expenditures, or future requirements, for capital expenditures or contractual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do not reflect changes in, or cash requirements for, our working capital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do not reflect funds available to make cash distributions;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do not reflect the significant interest expense, or the cash requirements necessary to service interest or principal payments, on our debts;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depreciation and amortization are non-cash charges, the assets being depreciated and amortized may need to be replaced in the future, and 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do not reflect any cash requirements for such replacements;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compensation is and will remain a key element of our overall long-term incentive compensation package, although we exclude it as an expense when evaluating our ongoing operating performance for a particular period using Adjusted FFO and Adjusted EBITDA;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FFO, Adjusted EBITDA and Adjusted Hotel EBITDA do not reflect the impact of certain cash charges (including acquisition transaction costs) that result from matters we consider not to be indicative of the underlying performance of our hotel properties;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companies in our industry may calculate 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differently than we do, limiting their usefulness as comparative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do not represent cash generated from operating activities as determined by GAAP and should not be considered as alternatives to net income or loss, cash flows from operations or any other operating performance measure prescribed by GAAP. 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are not measures of our liquidity. Because of these limitations, 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should not be considered in isolation or as a substitute for performance measures calculated in accordance with GAAP. We compensate for these limitations by relying primarily on our GAAP results and using FFO, Adjusted FFO,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Adjusted EBITDA and Adjusted Hotel EBITDA only supplementally. Our consolidated financial statements and the notes to those statements included elsewhere are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Sources and Uses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principal sources of cash include net cash from operations, availability under our revolving credit facility, proceeds from debt and equity issuances, and proceeds from the sale of hotel properties. Our principal uses of cash include acquisitions, capital expenditures, operating costs, corporate expenditures, interest costs, debt repayments, common share repurchases, and distributions to equity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totaled $17.7 million as of June 30, 2026, a decrease of $14.9 million from December 31, 2025, primarily due to net cash provided by operating activities of $38.9 million, net cash used in investing activities of $(105.9) million, and net cash provided by financing activities of $52.0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Cash from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flows provided by operating activities increased $12.6 million to $38.9 million during the six months ended June 30, 2026 compared to $26.3 million during the six months ended June 30, 2025. The increase in cash from operating activities was primarily due to improving revenue from our hotels which generated same property RevPAR growth of 2.3% during the six months ended June 30, 2026, the acquisition of six hotels in 2026 and an increase in accounts payable and accrued expenses, partially offset by the sale of four hotels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Investing Activities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flows used in investing activities increased $142.4 million to $105.9 million during the six months ended June 30, 2026 compared to net cash flows provided by investing activities of $36.5 million during the six months ended June 30, 2025. For the six months ended June 30, 2026, net cash flows used in investing activities of $105.9 million consisted of $13.4 million related to capital improvements on our hotels and $92.5 million related to the acquisition of six hotels. For the six months ended June 30, 2025, net cash flows provided by investing activities of $36.5 million consisted of $53.0 million in net proceeds related to the sales of three hotels, partially offset by $(16.4) million related to capital improvements on our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to invest approximately $13.1 million on renovations, discretionary and emergency expenditures on our existing hotels during the remainder of 2026, including improvements required under any brand PIP.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Financing Activities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flows provided by financing activities increased $120.4 million to $52.0 million during the six months ended June 30, 2026 compared to net cash flows used in financing activities of $68.4 million during the six months ended June 30, 2025. For the six months ended June 30, 2026, net cash flows provided by financing activities of $52.0 million were comprised of net borrowings on our revolving credit facility of $75.0 million, repurchases of common shares of $9.5 million, distributions to common share and LTIP unit holders of $9.5 million and distributions on preferred shares of $4.0 million. For the six months ended June 30, 2025, net cash flows used in financing activities of $68.4 million were comprised of the repayment of mortgage debt of $16.0 million, net repayments on our revolving credit facility of $40.0 million, distributions to common share and LTIP unit holders of $8.3 million, distributions on preferred shares of $4.0 million, and repurchases of common shares of $0.1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declared total dividends of $0.20 and $0.18 per common share and LTIP unit for the six months ended June 30, 2026 and 2025, respectively. We declared total dividends of $0.82812 and $0.82812 per Series A preferred share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Material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material cash requirements include the following contractual obligations: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June 30, 2026, we had total debt principal and interest obligations of $524.0 million with $24.4 million of principal and interest payable within the next 12 months from June 30, 2026. The Company has no debt principal obligations payable during the next 12 months. See Note 6, “Debt” to our consolidated financial statements for additional information relating to our property loans, revolving credit facility and unsecured term loan.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payments due within the next 12 months from June 30, 2026 total $1.9 million. See Note 12, “Leases” to our consolidated financial statements for additional information relating to our corporate office and ground 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June 30, 2026, our leverage ratio was approximately 24.1% measured as the ratio of our net debt (total debt outstanding before deferred financing costs less unrestricted cash and cash equivalents) to hotel investments at cost. Over the past several years, we have maintained a leverage ratio between the low 20s and the low 50s. At June 30, 2026, we had total debt of $418.2 million at an average interest rate of approximately 5.84%.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June 30, 2026 and December 31, 2025, we had $75.0 million and zero, respectively, in outstanding borrowings under our $300.0 million revolving credit facility. We had $200.0 million and $200.0 million in outstanding borrowings under our unsecured term loan at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revolving credit facility and term loan contain representations, warranties, covenants, terms and conditions customary for credit facilities of this type, including a maximum leverage ratio, a maximum secured leverage ratio, a maximum unsecured leverage ratio, a minimum fixed charge coverage ratio, a minimum unsecured interest coverage ratio, and minimum net worth financial covenants, limitations on (i) liens, (ii) incurrence of debt, (iii) investments, (iv) distributions and (v) mergers and asset dispositions, covenants to preserve corporate existence and comply with laws, covenants on the use of proceeds and default provisions, including defaults for non-payment, breach of representations and warranties, insolvency, non-performance of covenants, cross-defaults and guarantor defaults. We were in compliance with all financial covenants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2017, we established a $50.0 million dividend reinvestment and share purchase plan (the "DRSPP") which renewed in December 2020 and renewed again in January 2024. Under the DRSPP, shareholders may purchase additional common shares by reinvesting some or all of the cash dividends received on common shares. Shareholders may also make optional cash purchases of common shares subject to certain limitations detailed in the prospectuses for the DRSPP. During the three months ended June 30, 2026, the Company issued 1,555 common shares under the DRSPP at a weighted-average price per share of $9.53, which generated $15 thousand of proceeds. During the six months ended June 30, 2026, the Company issued 3,124 common shares under the DRSPP at a weighted-average price per share of $8.45, which generated $26 thousand of proceeds. As of June 30, 2026, there was approximately $49.9 million of common shares available for issuance under the DRSPP.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May 2025, the Board of Trustees authorized and approved a $25.0 million share repurchase program (the "Share Repurchase Program") of our common shares. Under the Share Repurchase Program, we have the ability to repurchase up to $25.0 million of common shares through open market purchases or other privately negotiated transactions at times and in amounts as we deem appropriate. The Share Repurchase Program has no time limit and may be suspended or discontinued at any time. During the three months ended June 30, 2026, the Company repurchased 311,745 common shares at a weighted-average price per share of $9.07 for an aggregate purchase price, including commissions, of approximately $2.8 million. During the six months ended June 30, 2026, the Company repurchased 1,216,672 common shares at a weighted-average price per share of $7.79 for an aggregate purchase price, including commissions, of approximately $9.5 million. As of June 30, 2026, approximately $6.6 million of common shares remained available for repurchase under the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to meet our short-term liquidity requirements generally through existing cash balances and availability under our revolving credit facility. We believe that our existing cash balances and availability under our revolving credit facility will be adequate to fund operating obligations, pay interest on any borrowings and fund dividends in accordance with the requirements for qualification as a REIT under the Code. We expect to meet our long-term liquidity requirements, such as hotel property acquisitions and development, and debt maturities or repayments through additional long-term secured and unsecured borrowings, the issuance of additional equity or debt securities or the possible sale of existing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intend to continue to invest in hotel properties as suitable opportunities arise. We intend to finance our future investments with free cash flow, the net proceeds from additional issuances of common and preferred shares, issuances of common units in our Operating Partnership or other securities, borrowings or asset sales. The success of our acquisition strategy depends, in part, on our ability to access additional capital through other sources. There can be no assurance that we will continue to make investments in properties that meet our investment criteria. Additionally, we may choose to dispose of certain hotels as a means to provide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had no material off-balance sheet arrangements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dividend policy for common shares has been to distribute, annually, approximately 100% of our annual taxable income. During the six months ended June 30, 2026, the Company declared total dividends on common shares of $0.20 per share and distributions on LTIP units of $0.20 per unit. We plan to pay dividends required to maintain REIT status. The amount of any dividend is determined by our Board of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Chatham declared dividends of $0.82812 per share of 6.625% Series A Cumulative Redeemable Preferred Shares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Operators of hotels, in general, possess the ability to adjust room rates daily to reflect the effects of inflation. However, competitive pressures may limit the ability of our management companies to raise room rates. Inflation may also affect our expenses and costs of capital investments by increasing, among other things, the costs of construction, labor, employee-related benefits, food, commodities and other materials, taxes, property and casualty insurance and utilities.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Demand for our hotels is affected by recurring seasonal patterns. Generally, we expect that we will have lower revenue, operating income and cash flow in the first and fourth quarters and higher revenue, operating income and cash flow in the second and third quarters. These general trends are, however, influenced by overall economic cycles and the geographic locations of our hotels. To the extent that cash flow from operations is insufficient during any quarter, due to temporary or seasonal fluctuations in revenue, we expect to utilize cash on hand or borrowings under our revolving credit facility to pay expenses, debt service or to make distributions to our equity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consolidated financial statements have been prepared in conformity with GAAP, which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be materially different, application of these policies involves the exercise of judgment and the use of assumptions as to future uncertainties and, as a result, actual results could differ from these estimates. We evaluate our estimates and judgments on an ongoing basis. We base our estimates on experience and on various other assumptions that are believed to be reasonable under the circumstances. All of our significant accounting policies, including certain critical accounting estimates, are disclosed in our Annual Report on Form 10-K for the year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6" w:name="quant"/>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be exposed to interest rate changes primarily as a result of maintaining floating rate borrowings under our revolving credit facility and term loan, assumption of long-term debt in connection with our acquisitions, and upon refinancing of existing debt. Our interest rate risk management objectives are to limit the impact of interest rate changes on earnings and cash flows and to lower overall borrowing costs. To achieve these objectives, we seek to borrow primarily at fixed rates or variable rates with the lowest margins available and, in some cases, with the ability to convert variable rates to fixed rates. With respect to variable rate financing, we will assess interest rate risk by identifying and monitoring changes in interest rate exposures that may adversely impact expected future cash flows and by evaluating hedging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estimates the fair value of its fixed rate debt by discounting the future cash flows of each instrument at estimated market rates. Rates take into consideration general market conditions, maturity and fair value of the underlying collateral. The estimated fair value of the Company’s fixed rate debt at June 30, 2026 and December 31, 2025 was $152.1 million and $154.0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June 30, 2026, our consolidated debt was comprised of floating and fixed interest rate debt. The fair value of our fixed rate debt indicates the estimated principal amount of debt having the same debt service requirements that could have been borrowed at the date presented, at then current market interest rates. The following table provides information about the maturities of our financial instruments as of June 30, 2026 that are sensitive to changes in interest rates (dollars in thousands):</w:t>
      </w:r>
    </w:p>
    <w:p>
      <w:pPr>
        <w:pStyle w:val="TextBody"/>
        <w:bidi w:val="0"/>
        <w:spacing w:before="0" w:after="0"/>
        <w:ind w:left="0" w:right="0" w:hanging="0"/>
        <w:jc w:val="left"/>
        <w:rPr>
          <w:caps w:val="false"/>
          <w:smallCaps w:val="false"/>
        </w:rPr>
      </w:pPr>
      <w:r>
        <w:rPr>
          <w:caps w:val="false"/>
          <w:smallCaps w:val="false"/>
        </w:rPr>
        <w:t> </w:t>
      </w:r>
    </w:p>
    <w:tbl>
      <w:tblPr>
        <w:tblW w:w="8889" w:type="dxa"/>
        <w:jc w:val="left"/>
        <w:tblInd w:w="0" w:type="dxa"/>
        <w:tblLayout w:type="fixed"/>
        <w:tblCellMar>
          <w:top w:w="0" w:type="dxa"/>
          <w:left w:w="0" w:type="dxa"/>
          <w:bottom w:w="0" w:type="dxa"/>
          <w:right w:w="0" w:type="dxa"/>
        </w:tblCellMar>
      </w:tblPr>
      <w:tblGrid>
        <w:gridCol w:w="1685"/>
        <w:gridCol w:w="60"/>
        <w:gridCol w:w="82"/>
        <w:gridCol w:w="358"/>
        <w:gridCol w:w="60"/>
        <w:gridCol w:w="60"/>
        <w:gridCol w:w="82"/>
        <w:gridCol w:w="358"/>
        <w:gridCol w:w="60"/>
        <w:gridCol w:w="60"/>
        <w:gridCol w:w="125"/>
        <w:gridCol w:w="590"/>
        <w:gridCol w:w="185"/>
        <w:gridCol w:w="60"/>
        <w:gridCol w:w="125"/>
        <w:gridCol w:w="695"/>
        <w:gridCol w:w="185"/>
        <w:gridCol w:w="60"/>
        <w:gridCol w:w="125"/>
        <w:gridCol w:w="380"/>
        <w:gridCol w:w="185"/>
        <w:gridCol w:w="60"/>
        <w:gridCol w:w="163"/>
        <w:gridCol w:w="772"/>
        <w:gridCol w:w="185"/>
        <w:gridCol w:w="60"/>
        <w:gridCol w:w="126"/>
        <w:gridCol w:w="704"/>
        <w:gridCol w:w="185"/>
        <w:gridCol w:w="60"/>
        <w:gridCol w:w="142"/>
        <w:gridCol w:w="792"/>
        <w:gridCol w:w="60"/>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Thereafter</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Floating rate: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3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3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275,000</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interest rate</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rate: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w:t>
            </w:r>
          </w:p>
        </w:tc>
        <w:tc>
          <w:tcPr>
            <w:tcW w:w="60" w:type="dxa"/>
            <w:tcBorders/>
            <w:shd w:fill="CCEEFF" w:val="clear"/>
            <w:vAlign w:val="center"/>
          </w:tcPr>
          <w:p>
            <w:pPr>
              <w:pStyle w:val="TableContents"/>
              <w:bidi w:val="0"/>
              <w:spacing w:before="0" w:after="283"/>
              <w:ind w:left="0" w:right="0" w:hanging="0"/>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3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3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152,051</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interest rate</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estimate that a hypothetical 100 basis points increase in SOFR would result in additional interest of approximately $2.8 million annually. This assumes that the amount of floating rate debt outstanding on our revolving credit facility and unsecured term loan remains $275.0 million, the total balance as of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bookmarkStart w:id="7" w:name="controls"/>
      <w:bookmarkEnd w:id="7"/>
      <w:r>
        <w:rPr>
          <w:rFonts w:ascii="Times New Roman" w:hAnsi="Times New Roman"/>
          <w:b/>
          <w:sz w:val="20"/>
        </w:rPr>
        <w:t>Item 4.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have evaluated the effectiveness of the design and operation of our disclosure controls and procedures pursuant to Exchange Act Rule 13a-15(b) as of the end of the period covered by this report. Based on that evaluation, our Chief Executive Officer and Chief Financial Officer have concluded that these disclosure controls and procedures were effective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that occurred during the last fiscal quarter that have materially affected, or are reasonably likely to materially affect, our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part2"/>
      <w:bookmarkEnd w:id="8"/>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9" w:name="legal"/>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subject to various claims, lawsuits and legal proceedings, including routine litigation arising in the ordinary course of business, regarding the operation of its hotels, its managers and other Company matters. While it is not possible to ascertain the ultimate outcome of such matters, the Company believes that the aggregate identifiable amount of such liabilities, if any, will not have a material adverse impact on its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risk"/>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previously disclosed under Item 1A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1" w:name="unregistered"/>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summary of all share repurchases during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80"/>
        <w:gridCol w:w="60"/>
        <w:gridCol w:w="114"/>
        <w:gridCol w:w="1341"/>
        <w:gridCol w:w="60"/>
        <w:gridCol w:w="60"/>
        <w:gridCol w:w="248"/>
        <w:gridCol w:w="969"/>
        <w:gridCol w:w="60"/>
        <w:gridCol w:w="60"/>
        <w:gridCol w:w="206"/>
        <w:gridCol w:w="2421"/>
        <w:gridCol w:w="60"/>
        <w:gridCol w:w="60"/>
        <w:gridCol w:w="683"/>
        <w:gridCol w:w="2659"/>
        <w:gridCol w:w="64"/>
      </w:tblGrid>
      <w:tr>
        <w:trPr/>
        <w:tc>
          <w:tcPr>
            <w:tcW w:w="1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 Paid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2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 Part of Publicly Announced Plans or 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342" w:type="dxa"/>
            <w:gridSpan w:val="2"/>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lineRule="auto" w:line="288" w:before="0" w:after="283"/>
              <w:jc w:val="center"/>
              <w:rPr>
                <w:rFonts w:ascii="Times New Roman;Times;serif" w:hAnsi="Times New Roman;Times;serif"/>
                <w:b/>
                <w:sz w:val="20"/>
              </w:rPr>
            </w:pPr>
            <w:r>
              <w:rPr>
                <w:rFonts w:ascii="Times New Roman;Times;serif" w:hAnsi="Times New Roman;Times;serif"/>
                <w:b/>
                <w:sz w:val="20"/>
              </w:rPr>
              <w:t>Approximate Dollar Value of Shares that May Yet Be Purchased Under the Plans or Programs(1) (in thousands)</w:t>
            </w:r>
          </w:p>
        </w:tc>
        <w:tc>
          <w:tcPr>
            <w:tcW w:w="64" w:type="dxa"/>
            <w:tcBorders/>
            <w:tcMar>
              <w:bottom w:w="0" w:type="dxa"/>
            </w:tcMar>
            <w:vAlign w:val="center"/>
          </w:tcPr>
          <w:p>
            <w:pPr>
              <w:pStyle w:val="TableContents"/>
              <w:bidi w:val="0"/>
              <w:spacing w:before="0" w:after="283"/>
              <w:jc w:val="left"/>
              <w:rPr/>
            </w:pPr>
            <w:r>
              <w:rPr/>
              <w:t> </w:t>
            </w:r>
          </w:p>
        </w:tc>
      </w:tr>
      <w:tr>
        <w:trPr/>
        <w:tc>
          <w:tcPr>
            <w:tcW w:w="10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 2026 - April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134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ind w:left="0" w:right="0" w:hanging="0"/>
              <w:jc w:val="left"/>
              <w:rPr/>
            </w:pPr>
            <w:r>
              <w:rPr/>
              <w:t> </w:t>
            </w:r>
          </w:p>
        </w:tc>
        <w:tc>
          <w:tcPr>
            <w:tcW w:w="24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8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9" w:type="dxa"/>
            <w:tcBorders/>
            <w:shd w:fill="CCEEFF" w:val="clear"/>
            <w:tcMar>
              <w:bottom w:w="0" w:type="dxa"/>
            </w:tcMar>
            <w:vAlign w:val="center"/>
          </w:tcPr>
          <w:p>
            <w:pPr>
              <w:pStyle w:val="TableContents"/>
              <w:bidi w:val="0"/>
              <w:spacing w:before="0" w:after="283"/>
              <w:ind w:left="0" w:right="0" w:hanging="0"/>
              <w:jc w:val="righ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0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2026 - May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13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pPr>
            <w:r>
              <w:rPr/>
              <w:t> </w:t>
            </w:r>
          </w:p>
        </w:tc>
        <w:tc>
          <w:tcPr>
            <w:tcW w:w="24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8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9" w:type="dxa"/>
            <w:tcBorders/>
            <w:shd w:fill="FFFFFF" w:val="clear"/>
            <w:tcMar>
              <w:bottom w:w="0" w:type="dxa"/>
            </w:tcMar>
            <w:vAlign w:val="center"/>
          </w:tcPr>
          <w:p>
            <w:pPr>
              <w:pStyle w:val="TableContents"/>
              <w:bidi w:val="0"/>
              <w:spacing w:before="0" w:after="283"/>
              <w:ind w:left="0" w:right="0" w:hanging="0"/>
              <w:jc w:val="righ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0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2026 -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4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42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0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4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42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8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6,557</w:t>
            </w:r>
          </w:p>
        </w:tc>
        <w:tc>
          <w:tcPr>
            <w:tcW w:w="6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In May 2025, our Board of Trustees authorized and approved a $25.0 million share repurchase program of our common shares. Under this program, we may repurchase common shares through open market purchases or other privately negotiated transactions at times and in amounts as we deem appropriate. The program has no time limit and may be suspended or discontinued at any time. As of  June 30, 2026, $6.6 million of common shares remained available for repurchase under this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defaults"/>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mine"/>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4" w:name="otherinfo"/>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the Company's trustees or officers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5" w:name="exhibits"/>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
        <w:gridCol w:w="60"/>
        <w:gridCol w:w="9403"/>
      </w:tblGrid>
      <w:tr>
        <w:trPr/>
        <w:tc>
          <w:tcPr>
            <w:tcW w:w="74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 of Exhibit</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3.1</w:t>
              </w:r>
            </w:hyperlink>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Articles of Amendment and Restatement of Chatham Lodging Trust (1)</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3.2</w:t>
              </w:r>
            </w:hyperlink>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Articles of Amendment of Chatham Lodging Trust (2)</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3.3</w:t>
              </w:r>
            </w:hyperlink>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Amended and Restated Bylaws of Chatham Lodging Trust (3)</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3.4</w:t>
              </w:r>
            </w:hyperlink>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Articles Supplementary to the Company's Declaration of Trust designating the 6.625% Series A Cumulative Redeemable Preferred Shares of Beneficial Interest, $0.01 par value per share (4)</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pPr>
            <w:hyperlink w:anchor="ex_960834.htm">
              <w:r>
                <w:rPr>
                  <w:rStyle w:val="InternetLink"/>
                  <w:rFonts w:ascii="Times New Roman" w:hAnsi="Times New Roman"/>
                  <w:caps w:val="false"/>
                  <w:smallCaps w:val="false"/>
                  <w:sz w:val="20"/>
                  <w:u w:val="single"/>
                </w:rPr>
                <w:t>31.1</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of Chief Executive Officer pursuant to Rule 13a-14(a)/15d-14(a) of the Securities Exchange Act of 1934, as amended, as adopted pursuant to Section 302 of the Sarbanes-Oxley Act of 2002</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pPr>
            <w:hyperlink w:anchor="ex_960835.htm">
              <w:r>
                <w:rPr>
                  <w:rStyle w:val="InternetLink"/>
                  <w:rFonts w:ascii="Times New Roman" w:hAnsi="Times New Roman"/>
                  <w:caps w:val="false"/>
                  <w:smallCaps w:val="false"/>
                  <w:sz w:val="20"/>
                  <w:u w:val="single"/>
                </w:rPr>
                <w:t>31.2</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of Chief Financial Officer pursuant to Rule 13a-14(a)/15d-14(a) of the Securities Exchange Act of 1934, as amended, as adopted pursuant to Section 302 of the Sarbanes-Oxley Act of 2002</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pPr>
            <w:hyperlink w:anchor="ex_960836.htm">
              <w:r>
                <w:rPr>
                  <w:rStyle w:val="InternetLink"/>
                  <w:rFonts w:ascii="Times New Roman" w:hAnsi="Times New Roman"/>
                  <w:caps w:val="false"/>
                  <w:smallCaps w:val="false"/>
                  <w:sz w:val="20"/>
                  <w:u w:val="single"/>
                </w:rPr>
                <w:t>32.1</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of Chief Executive Officer and Chief Financial Officer pursuant to 18 U.S.C. 1350, as adopted pursuant to Section 906 of the Sarbanes-Oxley Act of 2002</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instance document does not appear in the interactive data file because its XBRL tags are embedded within the inline XBRL document.</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interactive data file does not appear in the interactive date file because its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
        <w:gridCol w:w="9760"/>
      </w:tblGrid>
      <w:tr>
        <w:trPr/>
        <w:tc>
          <w:tcPr>
            <w:tcW w:w="445"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9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45" w:type="dxa"/>
            <w:tcBorders/>
            <w:vAlign w:val="center"/>
          </w:tcPr>
          <w:p>
            <w:pPr>
              <w:pStyle w:val="TableContents"/>
              <w:bidi w:val="0"/>
              <w:spacing w:before="0" w:after="283"/>
              <w:jc w:val="left"/>
              <w:rPr/>
            </w:pPr>
            <w:r>
              <w:rPr/>
              <w:t> </w:t>
            </w:r>
          </w:p>
        </w:tc>
        <w:tc>
          <w:tcPr>
            <w:tcW w:w="9760" w:type="dxa"/>
            <w:tcBorders/>
            <w:vAlign w:val="center"/>
          </w:tcPr>
          <w:p>
            <w:pPr>
              <w:pStyle w:val="TableContents"/>
              <w:bidi w:val="0"/>
              <w:spacing w:before="0" w:after="283"/>
              <w:jc w:val="left"/>
              <w:rPr/>
            </w:pPr>
            <w:r>
              <w:rPr/>
              <w:t> </w:t>
            </w:r>
          </w:p>
        </w:tc>
      </w:tr>
      <w:tr>
        <w:trPr/>
        <w:tc>
          <w:tcPr>
            <w:tcW w:w="445"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9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rPr/>
        <w:tc>
          <w:tcPr>
            <w:tcW w:w="445" w:type="dxa"/>
            <w:tcBorders/>
            <w:vAlign w:val="center"/>
          </w:tcPr>
          <w:p>
            <w:pPr>
              <w:pStyle w:val="TableContents"/>
              <w:bidi w:val="0"/>
              <w:spacing w:before="0" w:after="283"/>
              <w:jc w:val="left"/>
              <w:rPr/>
            </w:pPr>
            <w:r>
              <w:rPr/>
              <w:t> </w:t>
            </w:r>
          </w:p>
        </w:tc>
        <w:tc>
          <w:tcPr>
            <w:tcW w:w="9760" w:type="dxa"/>
            <w:tcBorders/>
            <w:vAlign w:val="center"/>
          </w:tcPr>
          <w:p>
            <w:pPr>
              <w:pStyle w:val="TableContents"/>
              <w:bidi w:val="0"/>
              <w:spacing w:before="0" w:after="283"/>
              <w:jc w:val="left"/>
              <w:rPr/>
            </w:pPr>
            <w:r>
              <w:rPr/>
              <w:t> </w:t>
            </w:r>
          </w:p>
        </w:tc>
      </w:tr>
      <w:tr>
        <w:trPr/>
        <w:tc>
          <w:tcPr>
            <w:tcW w:w="44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(1) </w:t>
            </w:r>
          </w:p>
        </w:tc>
        <w:tc>
          <w:tcPr>
            <w:tcW w:w="9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3.1 to the Company's Annual Report on Form 10-K filed with the SEC on February 29, 2016 (File No. 001-34693).</w:t>
            </w:r>
          </w:p>
        </w:tc>
      </w:tr>
      <w:tr>
        <w:trPr/>
        <w:tc>
          <w:tcPr>
            <w:tcW w:w="445" w:type="dxa"/>
            <w:tcBorders/>
            <w:vAlign w:val="center"/>
          </w:tcPr>
          <w:p>
            <w:pPr>
              <w:pStyle w:val="TableContents"/>
              <w:bidi w:val="0"/>
              <w:spacing w:before="0" w:after="283"/>
              <w:jc w:val="left"/>
              <w:rPr/>
            </w:pPr>
            <w:r>
              <w:rPr/>
              <w:t> </w:t>
            </w:r>
          </w:p>
        </w:tc>
        <w:tc>
          <w:tcPr>
            <w:tcW w:w="9760" w:type="dxa"/>
            <w:tcBorders/>
            <w:vAlign w:val="center"/>
          </w:tcPr>
          <w:p>
            <w:pPr>
              <w:pStyle w:val="TableContents"/>
              <w:bidi w:val="0"/>
              <w:spacing w:before="0" w:after="283"/>
              <w:jc w:val="left"/>
              <w:rPr/>
            </w:pPr>
            <w:r>
              <w:rPr/>
              <w:t> </w:t>
            </w:r>
          </w:p>
        </w:tc>
      </w:tr>
      <w:tr>
        <w:trPr/>
        <w:tc>
          <w:tcPr>
            <w:tcW w:w="44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(2) </w:t>
            </w:r>
          </w:p>
        </w:tc>
        <w:tc>
          <w:tcPr>
            <w:tcW w:w="9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3.2 to the Company's Quarterly Report on Form 10-Q filed with the SEC on May 4, 2023 (File No. 001-34693).</w:t>
            </w:r>
          </w:p>
        </w:tc>
      </w:tr>
      <w:tr>
        <w:trPr/>
        <w:tc>
          <w:tcPr>
            <w:tcW w:w="445" w:type="dxa"/>
            <w:tcBorders/>
            <w:vAlign w:val="center"/>
          </w:tcPr>
          <w:p>
            <w:pPr>
              <w:pStyle w:val="TableContents"/>
              <w:bidi w:val="0"/>
              <w:spacing w:before="0" w:after="283"/>
              <w:jc w:val="left"/>
              <w:rPr/>
            </w:pPr>
            <w:r>
              <w:rPr/>
              <w:t> </w:t>
            </w:r>
          </w:p>
        </w:tc>
        <w:tc>
          <w:tcPr>
            <w:tcW w:w="9760" w:type="dxa"/>
            <w:tcBorders/>
            <w:vAlign w:val="center"/>
          </w:tcPr>
          <w:p>
            <w:pPr>
              <w:pStyle w:val="TableContents"/>
              <w:bidi w:val="0"/>
              <w:spacing w:before="0" w:after="283"/>
              <w:jc w:val="left"/>
              <w:rPr/>
            </w:pPr>
            <w:r>
              <w:rPr/>
              <w:t> </w:t>
            </w:r>
          </w:p>
        </w:tc>
      </w:tr>
      <w:tr>
        <w:trPr/>
        <w:tc>
          <w:tcPr>
            <w:tcW w:w="44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 </w:t>
            </w:r>
          </w:p>
        </w:tc>
        <w:tc>
          <w:tcPr>
            <w:tcW w:w="9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3.1 to the Company's Current Report on Form 8-K filed with the SEC on February 24, 2023 (File No. 001-34693).</w:t>
            </w:r>
          </w:p>
        </w:tc>
      </w:tr>
      <w:tr>
        <w:trPr/>
        <w:tc>
          <w:tcPr>
            <w:tcW w:w="445" w:type="dxa"/>
            <w:tcBorders/>
            <w:vAlign w:val="center"/>
          </w:tcPr>
          <w:p>
            <w:pPr>
              <w:pStyle w:val="TableContents"/>
              <w:bidi w:val="0"/>
              <w:spacing w:before="0" w:after="283"/>
              <w:jc w:val="left"/>
              <w:rPr/>
            </w:pPr>
            <w:r>
              <w:rPr/>
              <w:t> </w:t>
            </w:r>
          </w:p>
        </w:tc>
        <w:tc>
          <w:tcPr>
            <w:tcW w:w="9760" w:type="dxa"/>
            <w:tcBorders/>
            <w:vAlign w:val="center"/>
          </w:tcPr>
          <w:p>
            <w:pPr>
              <w:pStyle w:val="TableContents"/>
              <w:bidi w:val="0"/>
              <w:spacing w:before="0" w:after="283"/>
              <w:jc w:val="left"/>
              <w:rPr/>
            </w:pPr>
            <w:r>
              <w:rPr/>
              <w:t> </w:t>
            </w:r>
          </w:p>
        </w:tc>
      </w:tr>
      <w:tr>
        <w:trPr/>
        <w:tc>
          <w:tcPr>
            <w:tcW w:w="44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(4) </w:t>
            </w:r>
          </w:p>
        </w:tc>
        <w:tc>
          <w:tcPr>
            <w:tcW w:w="9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3.3 of the Company's Registration Statement on Form 8-A filed with the SEC on June 25, 2021 (File No. 001-34693).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560"/>
        <w:gridCol w:w="1265"/>
        <w:gridCol w:w="60"/>
        <w:gridCol w:w="5015"/>
      </w:tblGrid>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CHATHAM LODGING TRUST</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4, 2026</w:t>
            </w:r>
          </w:p>
        </w:tc>
        <w:tc>
          <w:tcPr>
            <w:tcW w:w="60" w:type="dxa"/>
            <w:tcBorders/>
            <w:vAlign w:val="center"/>
          </w:tcPr>
          <w:p>
            <w:pPr>
              <w:pStyle w:val="TableContents"/>
              <w:bidi w:val="0"/>
              <w:spacing w:before="0" w:after="283"/>
              <w:jc w:val="left"/>
              <w:rPr/>
            </w:pPr>
            <w:r>
              <w:rPr/>
              <w:t> </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/s/ JEREMY B. WEGNER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Jeremy B. Wegner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35 </w:t>
      </w:r>
    </w:p>
    <w:p>
      <w:pPr>
        <w:pStyle w:val="TextBody"/>
        <w:bidi w:val="0"/>
        <w:spacing w:before="0" w:after="0"/>
        <w:ind w:left="0" w:right="0" w:hanging="0"/>
        <w:jc w:val="right"/>
        <w:rPr>
          <w:rFonts w:ascii="Times New Roman" w:hAnsi="Times New Roman"/>
          <w:b/>
          <w:caps w:val="false"/>
          <w:smallCaps w:val="false"/>
          <w:sz w:val="20"/>
        </w:rPr>
      </w:pPr>
      <w:bookmarkStart w:id="16" w:name="ex_960834.htm"/>
      <w:bookmarkStart w:id="17" w:name="ksex_960834"/>
      <w:bookmarkEnd w:id="16"/>
      <w:bookmarkEnd w:id="17"/>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Executive Officer Pursuant 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H. Fisher, certify that:</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70"/>
        <w:gridCol w:w="64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Chatham Lodging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0" w:type="dxa"/>
          <w:right w:w="0" w:type="dxa"/>
        </w:tblCellMar>
      </w:tblPr>
      <w:tblGrid>
        <w:gridCol w:w="560"/>
        <w:gridCol w:w="1265"/>
        <w:gridCol w:w="3965"/>
      </w:tblGrid>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CHATHAM LODGING TRUST</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c>
          <w:tcPr>
            <w:tcW w:w="126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bookmarkStart w:id="18" w:name="led802693F2026161770396808352"/>
            <w:bookmarkEnd w:id="18"/>
            <w:r>
              <w:rPr>
                <w:rFonts w:ascii="Times New Roman" w:hAnsi="Times New Roman"/>
                <w:caps w:val="false"/>
                <w:smallCaps w:val="false"/>
                <w:sz w:val="20"/>
              </w:rPr>
              <w:t>August 4, 2026</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H. FISHER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Jeffrey H. Fisher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19" w:name="ex_960835.htm"/>
      <w:bookmarkStart w:id="20" w:name="ksex_960835"/>
      <w:bookmarkEnd w:id="19"/>
      <w:bookmarkEnd w:id="20"/>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Financial Officer Pursuant 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Jeremy B. Wegner, certify that:</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70"/>
        <w:gridCol w:w="64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Chatham Lodging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560"/>
        <w:gridCol w:w="1265"/>
        <w:gridCol w:w="4010"/>
      </w:tblGrid>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CHATHAM LODGING TRUST</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c>
          <w:tcPr>
            <w:tcW w:w="126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bookmarkStart w:id="21" w:name="led802693F2026161770396834048"/>
            <w:bookmarkEnd w:id="21"/>
            <w:r>
              <w:rPr>
                <w:rFonts w:ascii="Times New Roman" w:hAnsi="Times New Roman"/>
                <w:caps w:val="false"/>
                <w:smallCaps w:val="false"/>
                <w:sz w:val="20"/>
              </w:rPr>
              <w:t>August 4, 2026</w:t>
            </w:r>
          </w:p>
        </w:tc>
        <w:tc>
          <w:tcPr>
            <w:tcW w:w="40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JEREMY B. WEGNER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Jeremy B. Wegner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2" w:name="ex_960836.htm"/>
      <w:bookmarkStart w:id="23" w:name="ksex_960836"/>
      <w:bookmarkEnd w:id="22"/>
      <w:bookmarkEnd w:id="2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18 U.S.C. Section</w:t>
      </w:r>
      <w:r>
        <w:rPr>
          <w:rFonts w:ascii="Times New Roman" w:hAnsi="Times New Roman"/>
          <w:caps w:val="false"/>
          <w:smallCaps w:val="false"/>
          <w:sz w:val="20"/>
        </w:rPr>
        <w:t> </w:t>
      </w:r>
      <w:r>
        <w:rPr>
          <w:rFonts w:ascii="Times New Roman" w:hAnsi="Times New Roman"/>
          <w:b/>
          <w:caps w:val="false"/>
          <w:smallCaps w:val="false"/>
          <w:sz w:val="20"/>
        </w:rPr>
        <w:t>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Chatham Lodging Trust (the “Company”) on Form 10-Q for the period ended </w:t>
      </w:r>
      <w:bookmarkStart w:id="24" w:name="led802693F2026161770396857830"/>
      <w:bookmarkEnd w:id="24"/>
      <w:r>
        <w:rPr>
          <w:rFonts w:ascii="Times New Roman" w:hAnsi="Times New Roman"/>
          <w:caps w:val="false"/>
          <w:smallCaps w:val="false"/>
          <w:sz w:val="20"/>
        </w:rPr>
        <w:t>June 30, 2026 as filed with the Securities and Exchange Commission on the date hereof (the “Report”), I, Jeffrey H. Fisher, Chairman, President and Chief Executive Officer of the Company and I, Jeremy B. Wegner, Senior Vice President and Chief Financial Officer of the Company, certify, to our knowledge,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560"/>
        <w:gridCol w:w="1265"/>
        <w:gridCol w:w="4010"/>
      </w:tblGrid>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CHATHAM LODGING TRUST</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c>
          <w:tcPr>
            <w:tcW w:w="126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bookmarkStart w:id="25" w:name="led802693F2026161770396863632"/>
            <w:bookmarkEnd w:id="25"/>
            <w:r>
              <w:rPr>
                <w:rFonts w:ascii="Times New Roman" w:hAnsi="Times New Roman"/>
                <w:caps w:val="false"/>
                <w:smallCaps w:val="false"/>
                <w:sz w:val="20"/>
              </w:rPr>
              <w:t>August 4, 2026</w:t>
            </w:r>
          </w:p>
        </w:tc>
        <w:tc>
          <w:tcPr>
            <w:tcW w:w="40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H. FISHER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Jeffrey H. Fisher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JEREMY B. WEGNER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Jeremy B. Wegner</w:t>
            </w:r>
          </w:p>
        </w:tc>
      </w:tr>
      <w:tr>
        <w:trPr/>
        <w:tc>
          <w:tcPr>
            <w:tcW w:w="5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76045/000147604516000096/cldtex31articlesamended.htm" TargetMode="External"/><Relationship Id="rId3" Type="http://schemas.openxmlformats.org/officeDocument/2006/relationships/hyperlink" Target="http://www.sec.gov/Archives/edgar/data/1476045/000147604523000047/cldtex3220230331.htm" TargetMode="External"/><Relationship Id="rId4" Type="http://schemas.openxmlformats.org/officeDocument/2006/relationships/hyperlink" Target="http://www.sec.gov/Archives/edgar/data/1476045/000147604523000023/chathamlodgingtrustbylaw.htm" TargetMode="External"/><Relationship Id="rId5" Type="http://schemas.openxmlformats.org/officeDocument/2006/relationships/hyperlink" Target="http://www.sec.gov/Archives/edgar/data/1476045/000119312521200509/d143480dex3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20428</Words>
  <Characters>108953</Characters>
  <CharactersWithSpaces>132428</CharactersWithSpaces>
  <Paragraphs>9048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