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ldt20251231_10k.htm"/>
      <w:bookmarkStart w:id="1" w:name="kscldt20251231_10k"/>
      <w:bookmarkEnd w:id="0"/>
      <w:bookmarkEnd w:id="1"/>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10-K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685" w:type="dxa"/>
        <w:jc w:val="left"/>
        <w:tblInd w:w="0" w:type="dxa"/>
        <w:tblLayout w:type="fixed"/>
        <w:tblCellMar>
          <w:top w:w="0" w:type="dxa"/>
          <w:left w:w="0" w:type="dxa"/>
          <w:bottom w:w="0" w:type="dxa"/>
          <w:right w:w="0" w:type="dxa"/>
        </w:tblCellMar>
      </w:tblPr>
      <w:tblGrid>
        <w:gridCol w:w="230"/>
        <w:gridCol w:w="9455"/>
      </w:tblGrid>
      <w:tr>
        <w:trPr/>
        <w:tc>
          <w:tcPr>
            <w:tcW w:w="230" w:type="dxa"/>
            <w:tcBorders/>
            <w:vAlign w:val="center"/>
          </w:tcPr>
          <w:p>
            <w:pPr>
              <w:pStyle w:val="TableContents"/>
              <w:bidi w:val="0"/>
              <w:spacing w:before="0" w:after="0"/>
              <w:ind w:left="0" w:right="0" w:hanging="0"/>
              <w:jc w:val="left"/>
              <w:rPr/>
            </w:pPr>
            <w:r>
              <w:rPr/>
              <w:t>☒</w:t>
            </w:r>
          </w:p>
        </w:tc>
        <w:tc>
          <w:tcPr>
            <w:tcW w:w="94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0"/>
              <w:ind w:left="0" w:right="0" w:hanging="0"/>
              <w:jc w:val="left"/>
              <w:rPr/>
            </w:pPr>
            <w:r>
              <w:rPr/>
              <w:t xml:space="preserve">☐ </w:t>
            </w:r>
          </w:p>
        </w:tc>
        <w:tc>
          <w:tcPr>
            <w:tcW w:w="9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to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001-34693</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CHATHAM LODGING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3380"/>
        <w:gridCol w:w="1550"/>
      </w:tblGrid>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27-1200777</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3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222 Lakeview Avenue, Suite 200</w:t>
            </w:r>
          </w:p>
        </w:tc>
        <w:tc>
          <w:tcPr>
            <w:tcW w:w="155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West Palm Beach, Florida</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33401</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(561) 802-4477</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986"/>
        <w:gridCol w:w="60"/>
        <w:gridCol w:w="1530"/>
        <w:gridCol w:w="60"/>
        <w:gridCol w:w="3569"/>
      </w:tblGrid>
      <w:tr>
        <w:trPr/>
        <w:tc>
          <w:tcPr>
            <w:tcW w:w="498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6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4986"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Shares of Beneficial Interest, $0.01 par value per share</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CLDT</w:t>
            </w:r>
          </w:p>
        </w:tc>
        <w:tc>
          <w:tcPr>
            <w:tcW w:w="60" w:type="dxa"/>
            <w:tcBorders/>
            <w:tcMar>
              <w:bottom w:w="0" w:type="dxa"/>
            </w:tcMar>
            <w:vAlign w:val="center"/>
          </w:tcPr>
          <w:p>
            <w:pPr>
              <w:pStyle w:val="TableContents"/>
              <w:bidi w:val="0"/>
              <w:spacing w:before="0" w:after="283"/>
              <w:jc w:val="left"/>
              <w:rPr/>
            </w:pPr>
            <w:r>
              <w:rPr/>
              <w:t> </w:t>
            </w:r>
          </w:p>
        </w:tc>
        <w:tc>
          <w:tcPr>
            <w:tcW w:w="3569"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York Stock Exchange</w:t>
            </w:r>
          </w:p>
        </w:tc>
      </w:tr>
      <w:tr>
        <w:trPr/>
        <w:tc>
          <w:tcPr>
            <w:tcW w:w="4986"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6.625% Series A Cumulative Redeemable Preferred Shares</w:t>
            </w:r>
          </w:p>
        </w:tc>
        <w:tc>
          <w:tcPr>
            <w:tcW w:w="60" w:type="dxa"/>
            <w:tcBorders/>
            <w:tcMar>
              <w:bottom w:w="0" w:type="dxa"/>
            </w:tcMar>
            <w:vAlign w:val="center"/>
          </w:tcPr>
          <w:p>
            <w:pPr>
              <w:pStyle w:val="TableContents"/>
              <w:bidi w:val="0"/>
              <w:spacing w:before="0" w:after="283"/>
              <w:jc w:val="left"/>
              <w:rPr/>
            </w:pPr>
            <w:r>
              <w:rPr/>
              <w:t> </w:t>
            </w:r>
          </w:p>
        </w:tc>
        <w:tc>
          <w:tcPr>
            <w:tcW w:w="153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CLDT-PA</w:t>
            </w:r>
          </w:p>
        </w:tc>
        <w:tc>
          <w:tcPr>
            <w:tcW w:w="60" w:type="dxa"/>
            <w:tcBorders/>
            <w:tcMar>
              <w:bottom w:w="0" w:type="dxa"/>
            </w:tcMar>
            <w:vAlign w:val="center"/>
          </w:tcPr>
          <w:p>
            <w:pPr>
              <w:pStyle w:val="TableContents"/>
              <w:bidi w:val="0"/>
              <w:spacing w:before="0" w:after="283"/>
              <w:jc w:val="left"/>
              <w:rPr/>
            </w:pPr>
            <w:r>
              <w:rPr/>
              <w:t> </w:t>
            </w:r>
          </w:p>
        </w:tc>
        <w:tc>
          <w:tcPr>
            <w:tcW w:w="3569"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820"/>
        <w:gridCol w:w="290"/>
        <w:gridCol w:w="2225"/>
        <w:gridCol w:w="29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9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The aggregate market value of the 48,064,071 common shares of beneficial interest held by non-affiliates of the registrant was $335,006,575 based on the closing sale price on the New York Stock Exchange for such common shares of beneficial interest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The number of common shares of beneficial interest outstanding as of February 27, 2026 was 47,254,037.</w:t>
      </w:r>
    </w:p>
    <w:p>
      <w:pPr>
        <w:pStyle w:val="TextBody"/>
        <w:bidi w:val="0"/>
        <w:spacing w:before="0" w:after="0"/>
        <w:ind w:left="0" w:right="0" w:firstLine="48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rFonts w:ascii="Times New Roman" w:hAnsi="Times New Roman"/>
          <w:caps w:val="false"/>
          <w:smallCaps w:val="false"/>
          <w:sz w:val="20"/>
        </w:rPr>
      </w:pPr>
      <w:r>
        <w:rPr>
          <w:rFonts w:ascii="Times New Roman" w:hAnsi="Times New Roman"/>
          <w:caps w:val="false"/>
          <w:smallCaps w:val="false"/>
          <w:sz w:val="20"/>
        </w:rPr>
        <w:t>Portions of the registrant's Definitive Proxy Statement for its 2026 Annual Meeting of Shareholders (to be filed with the Securities and Exchange Commission on or before April 30, 2026) are incorporated by reference into this Annual Report on Form 10-K in response to Part III hereof.</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170" w:type="dxa"/>
        <w:jc w:val="left"/>
        <w:tblInd w:w="0" w:type="dxa"/>
        <w:tblLayout w:type="fixed"/>
        <w:tblCellMar>
          <w:top w:w="0" w:type="dxa"/>
          <w:left w:w="0" w:type="dxa"/>
          <w:bottom w:w="0" w:type="dxa"/>
          <w:right w:w="0" w:type="dxa"/>
        </w:tblCellMar>
      </w:tblPr>
      <w:tblGrid>
        <w:gridCol w:w="710"/>
        <w:gridCol w:w="9020"/>
        <w:gridCol w:w="440"/>
      </w:tblGrid>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ind w:left="0" w:right="0" w:hanging="0"/>
              <w:jc w:val="center"/>
              <w:rPr/>
            </w:pPr>
            <w:hyperlink w:anchor="part1">
              <w:r>
                <w:rPr>
                  <w:rStyle w:val="InternetLink"/>
                  <w:rFonts w:ascii="Times New Roman" w:hAnsi="Times New Roman"/>
                  <w:b/>
                  <w:caps w:val="false"/>
                  <w:smallCaps w:val="false"/>
                  <w:sz w:val="20"/>
                  <w:u w:val="single"/>
                </w:rPr>
                <w:t>PART</w:t>
              </w:r>
            </w:hyperlink>
            <w:hyperlink w:anchor="part1">
              <w:r>
                <w:rPr>
                  <w:rStyle w:val="InternetLink"/>
                  <w:rFonts w:ascii="Times New Roman" w:hAnsi="Times New Roman"/>
                  <w:caps w:val="false"/>
                  <w:smallCaps w:val="false"/>
                  <w:sz w:val="20"/>
                  <w:u w:val="single"/>
                </w:rPr>
                <w:t> </w:t>
              </w:r>
            </w:hyperlink>
            <w:hyperlink w:anchor="part1">
              <w:r>
                <w:rPr>
                  <w:rStyle w:val="InternetLink"/>
                  <w:rFonts w:ascii="Times New Roman" w:hAnsi="Times New Roman"/>
                  <w:b/>
                  <w:caps w:val="false"/>
                  <w:smallCaps w:val="false"/>
                  <w:sz w:val="20"/>
                  <w:u w:val="single"/>
                </w:rPr>
                <w:t>I.</w:t>
              </w:r>
            </w:hyperlink>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020" w:type="dxa"/>
            <w:tcBorders/>
            <w:vAlign w:val="center"/>
          </w:tcPr>
          <w:p>
            <w:pPr>
              <w:pStyle w:val="TableContents"/>
              <w:bidi w:val="0"/>
              <w:spacing w:before="0" w:after="0"/>
              <w:ind w:left="0" w:right="0" w:hanging="0"/>
              <w:jc w:val="left"/>
              <w:rPr/>
            </w:pPr>
            <w:hyperlink w:anchor="business">
              <w:r>
                <w:rPr>
                  <w:rStyle w:val="InternetLink"/>
                  <w:rFonts w:ascii="Times New Roman" w:hAnsi="Times New Roman"/>
                  <w:caps w:val="false"/>
                  <w:smallCaps w:val="false"/>
                  <w:sz w:val="20"/>
                  <w:u w:val="single"/>
                </w:rPr>
                <w:t>Business</w:t>
              </w:r>
            </w:hyperlink>
          </w:p>
        </w:tc>
        <w:tc>
          <w:tcPr>
            <w:tcW w:w="440" w:type="dxa"/>
            <w:tcBorders/>
            <w:vAlign w:val="center"/>
          </w:tcPr>
          <w:p>
            <w:pPr>
              <w:pStyle w:val="TableContents"/>
              <w:bidi w:val="0"/>
              <w:spacing w:before="0" w:after="0"/>
              <w:ind w:left="0" w:right="0" w:hanging="0"/>
              <w:jc w:val="right"/>
              <w:rPr/>
            </w:pPr>
            <w:hyperlink w:anchor="business">
              <w:r>
                <w:rPr>
                  <w:rStyle w:val="InternetLink"/>
                  <w:rFonts w:ascii="Times New Roman" w:hAnsi="Times New Roman"/>
                  <w:caps w:val="false"/>
                  <w:smallCaps w:val="false"/>
                  <w:sz w:val="20"/>
                </w:rPr>
                <w:t>5</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902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14</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1B.</w:t>
            </w:r>
          </w:p>
        </w:tc>
        <w:tc>
          <w:tcPr>
            <w:tcW w:w="9020" w:type="dxa"/>
            <w:tcBorders/>
            <w:vAlign w:val="center"/>
          </w:tcPr>
          <w:p>
            <w:pPr>
              <w:pStyle w:val="TableContents"/>
              <w:bidi w:val="0"/>
              <w:spacing w:before="0" w:after="0"/>
              <w:ind w:left="0" w:right="0" w:hanging="0"/>
              <w:jc w:val="left"/>
              <w:rPr/>
            </w:pPr>
            <w:hyperlink w:anchor="unresolved">
              <w:r>
                <w:rPr>
                  <w:rStyle w:val="InternetLink"/>
                  <w:rFonts w:ascii="Times New Roman" w:hAnsi="Times New Roman"/>
                  <w:caps w:val="false"/>
                  <w:smallCaps w:val="false"/>
                  <w:sz w:val="20"/>
                  <w:u w:val="single"/>
                </w:rPr>
                <w:t>Unresolved Staff Comments</w:t>
              </w:r>
            </w:hyperlink>
          </w:p>
        </w:tc>
        <w:tc>
          <w:tcPr>
            <w:tcW w:w="440" w:type="dxa"/>
            <w:tcBorders/>
            <w:vAlign w:val="center"/>
          </w:tcPr>
          <w:p>
            <w:pPr>
              <w:pStyle w:val="TableContents"/>
              <w:bidi w:val="0"/>
              <w:spacing w:before="0" w:after="0"/>
              <w:ind w:left="0" w:right="0" w:hanging="0"/>
              <w:jc w:val="right"/>
              <w:rPr/>
            </w:pPr>
            <w:hyperlink w:anchor="unresolved">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1C.</w:t>
            </w:r>
          </w:p>
        </w:tc>
        <w:tc>
          <w:tcPr>
            <w:tcW w:w="9020" w:type="dxa"/>
            <w:tcBorders/>
            <w:vAlign w:val="center"/>
          </w:tcPr>
          <w:p>
            <w:pPr>
              <w:pStyle w:val="TableContents"/>
              <w:bidi w:val="0"/>
              <w:spacing w:before="0" w:after="0"/>
              <w:ind w:left="0" w:right="0" w:hanging="0"/>
              <w:jc w:val="left"/>
              <w:rPr/>
            </w:pPr>
            <w:hyperlink w:anchor="cyber">
              <w:r>
                <w:rPr>
                  <w:rStyle w:val="InternetLink"/>
                  <w:rFonts w:ascii="Times New Roman" w:hAnsi="Times New Roman"/>
                  <w:caps w:val="false"/>
                  <w:smallCaps w:val="false"/>
                  <w:sz w:val="20"/>
                  <w:u w:val="single"/>
                </w:rPr>
                <w:t>Cybersecurity</w:t>
              </w:r>
            </w:hyperlink>
          </w:p>
        </w:tc>
        <w:tc>
          <w:tcPr>
            <w:tcW w:w="440" w:type="dxa"/>
            <w:tcBorders/>
            <w:vAlign w:val="center"/>
          </w:tcPr>
          <w:p>
            <w:pPr>
              <w:pStyle w:val="TableContents"/>
              <w:bidi w:val="0"/>
              <w:spacing w:before="0" w:after="0"/>
              <w:ind w:left="0" w:right="0" w:hanging="0"/>
              <w:jc w:val="right"/>
              <w:rPr/>
            </w:pPr>
            <w:hyperlink w:anchor="cyber">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020" w:type="dxa"/>
            <w:tcBorders/>
            <w:vAlign w:val="center"/>
          </w:tcPr>
          <w:p>
            <w:pPr>
              <w:pStyle w:val="TableContents"/>
              <w:bidi w:val="0"/>
              <w:spacing w:before="0" w:after="0"/>
              <w:ind w:left="0" w:right="0" w:hanging="0"/>
              <w:jc w:val="left"/>
              <w:rPr/>
            </w:pPr>
            <w:hyperlink w:anchor="properties">
              <w:r>
                <w:rPr>
                  <w:rStyle w:val="InternetLink"/>
                  <w:rFonts w:ascii="Times New Roman" w:hAnsi="Times New Roman"/>
                  <w:caps w:val="false"/>
                  <w:smallCaps w:val="false"/>
                  <w:sz w:val="20"/>
                  <w:u w:val="single"/>
                </w:rPr>
                <w:t>Properties</w:t>
              </w:r>
            </w:hyperlink>
          </w:p>
        </w:tc>
        <w:tc>
          <w:tcPr>
            <w:tcW w:w="440" w:type="dxa"/>
            <w:tcBorders/>
            <w:vAlign w:val="center"/>
          </w:tcPr>
          <w:p>
            <w:pPr>
              <w:pStyle w:val="TableContents"/>
              <w:bidi w:val="0"/>
              <w:spacing w:before="0" w:after="0"/>
              <w:ind w:left="0" w:right="0" w:hanging="0"/>
              <w:jc w:val="right"/>
              <w:rPr/>
            </w:pPr>
            <w:hyperlink w:anchor="properties">
              <w:r>
                <w:rPr>
                  <w:rStyle w:val="InternetLink"/>
                  <w:rFonts w:ascii="Times New Roman" w:hAnsi="Times New Roman"/>
                  <w:caps w:val="false"/>
                  <w:smallCaps w:val="false"/>
                  <w:sz w:val="20"/>
                </w:rPr>
                <w:t>35</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902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36</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02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u w:val="single"/>
                </w:rPr>
                <w:t>Mine Safety Disclosures</w:t>
              </w:r>
            </w:hyperlink>
          </w:p>
        </w:tc>
        <w:tc>
          <w:tcPr>
            <w:tcW w:w="44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36</w:t>
              </w:r>
            </w:hyperlink>
          </w:p>
        </w:tc>
      </w:tr>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ind w:left="0" w:right="0" w:hanging="0"/>
              <w:jc w:val="center"/>
              <w:rPr/>
            </w:pPr>
            <w:hyperlink w:anchor="part2">
              <w:r>
                <w:rPr>
                  <w:rStyle w:val="InternetLink"/>
                  <w:rFonts w:ascii="Times New Roman" w:hAnsi="Times New Roman"/>
                  <w:b/>
                  <w:caps w:val="false"/>
                  <w:smallCaps w:val="false"/>
                  <w:sz w:val="20"/>
                  <w:u w:val="single"/>
                </w:rPr>
                <w:t xml:space="preserve">PART II. </w:t>
              </w:r>
            </w:hyperlink>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9020" w:type="dxa"/>
            <w:tcBorders/>
            <w:vAlign w:val="center"/>
          </w:tcPr>
          <w:p>
            <w:pPr>
              <w:pStyle w:val="TableContents"/>
              <w:bidi w:val="0"/>
              <w:spacing w:before="0" w:after="0"/>
              <w:ind w:left="0" w:right="0" w:hanging="0"/>
              <w:jc w:val="left"/>
              <w:rPr/>
            </w:pPr>
            <w:hyperlink w:anchor="market">
              <w:r>
                <w:rPr>
                  <w:rStyle w:val="InternetLink"/>
                  <w:rFonts w:ascii="Times New Roman" w:hAnsi="Times New Roman"/>
                  <w:caps w:val="false"/>
                  <w:smallCaps w:val="false"/>
                  <w:sz w:val="20"/>
                  <w:u w:val="single"/>
                </w:rPr>
                <w:t>Market for Registrant's Common Equity, Related Stockholder Matters and Issuer Purchases of Equity Securities</w:t>
              </w:r>
            </w:hyperlink>
          </w:p>
        </w:tc>
        <w:tc>
          <w:tcPr>
            <w:tcW w:w="440" w:type="dxa"/>
            <w:tcBorders/>
            <w:vAlign w:val="center"/>
          </w:tcPr>
          <w:p>
            <w:pPr>
              <w:pStyle w:val="TableContents"/>
              <w:bidi w:val="0"/>
              <w:spacing w:before="0" w:after="0"/>
              <w:ind w:left="0" w:right="0" w:hanging="0"/>
              <w:jc w:val="right"/>
              <w:rPr/>
            </w:pPr>
            <w:hyperlink w:anchor="market">
              <w:r>
                <w:rPr>
                  <w:rStyle w:val="InternetLink"/>
                  <w:rFonts w:ascii="Times New Roman" w:hAnsi="Times New Roman"/>
                  <w:caps w:val="false"/>
                  <w:smallCaps w:val="false"/>
                  <w:sz w:val="20"/>
                </w:rPr>
                <w:t>37</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9020" w:type="dxa"/>
            <w:tcBorders/>
            <w:vAlign w:val="center"/>
          </w:tcPr>
          <w:p>
            <w:pPr>
              <w:pStyle w:val="TableContents"/>
              <w:bidi w:val="0"/>
              <w:spacing w:before="0" w:after="0"/>
              <w:ind w:left="0" w:right="0" w:hanging="0"/>
              <w:jc w:val="left"/>
              <w:rPr/>
            </w:pPr>
            <w:hyperlink w:anchor="reserved">
              <w:r>
                <w:rPr>
                  <w:rStyle w:val="InternetLink"/>
                  <w:rFonts w:ascii="Times New Roman" w:hAnsi="Times New Roman"/>
                  <w:caps w:val="false"/>
                  <w:smallCaps w:val="false"/>
                  <w:sz w:val="20"/>
                  <w:u w:val="single"/>
                </w:rPr>
                <w:t>[Reserved]</w:t>
              </w:r>
            </w:hyperlink>
          </w:p>
        </w:tc>
        <w:tc>
          <w:tcPr>
            <w:tcW w:w="440" w:type="dxa"/>
            <w:tcBorders/>
            <w:vAlign w:val="center"/>
          </w:tcPr>
          <w:p>
            <w:pPr>
              <w:pStyle w:val="TableContents"/>
              <w:bidi w:val="0"/>
              <w:spacing w:before="0" w:after="0"/>
              <w:ind w:left="0" w:right="0" w:hanging="0"/>
              <w:jc w:val="right"/>
              <w:rPr/>
            </w:pPr>
            <w:hyperlink w:anchor="reserved">
              <w:r>
                <w:rPr>
                  <w:rStyle w:val="InternetLink"/>
                  <w:rFonts w:ascii="Times New Roman" w:hAnsi="Times New Roman"/>
                  <w:caps w:val="false"/>
                  <w:smallCaps w:val="false"/>
                  <w:sz w:val="20"/>
                </w:rPr>
                <w:t>39</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7.</w:t>
            </w:r>
          </w:p>
        </w:tc>
        <w:tc>
          <w:tcPr>
            <w:tcW w:w="902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40</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7A.</w:t>
            </w:r>
          </w:p>
        </w:tc>
        <w:tc>
          <w:tcPr>
            <w:tcW w:w="902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u w:val="single"/>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53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8.</w:t>
            </w:r>
          </w:p>
        </w:tc>
        <w:tc>
          <w:tcPr>
            <w:tcW w:w="902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u w:val="single"/>
                </w:rPr>
                <w:t>Consolidated Financial Statements and Supplementary Data</w:t>
              </w:r>
            </w:hyperlink>
          </w:p>
        </w:tc>
        <w:tc>
          <w:tcPr>
            <w:tcW w:w="440" w:type="dxa"/>
            <w:tcBorders/>
            <w:vAlign w:val="center"/>
          </w:tcPr>
          <w:p>
            <w:pPr>
              <w:pStyle w:val="TableContents"/>
              <w:bidi w:val="0"/>
              <w:spacing w:before="0" w:after="0"/>
              <w:ind w:left="0" w:right="0" w:hanging="0"/>
              <w:jc w:val="right"/>
              <w:rPr/>
            </w:pPr>
            <w:hyperlink w:anchor="finstmts">
              <w:r>
                <w:rPr>
                  <w:rStyle w:val="InternetLink"/>
                  <w:rFonts w:ascii="Times New Roman" w:hAnsi="Times New Roman"/>
                  <w:caps w:val="false"/>
                  <w:smallCaps w:val="false"/>
                  <w:sz w:val="20"/>
                </w:rPr>
                <w:t>54</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w:t>
            </w:r>
          </w:p>
        </w:tc>
        <w:tc>
          <w:tcPr>
            <w:tcW w:w="9020" w:type="dxa"/>
            <w:tcBorders/>
            <w:vAlign w:val="center"/>
          </w:tcPr>
          <w:p>
            <w:pPr>
              <w:pStyle w:val="TableContents"/>
              <w:bidi w:val="0"/>
              <w:spacing w:before="0" w:after="0"/>
              <w:ind w:left="0" w:right="0" w:hanging="0"/>
              <w:jc w:val="left"/>
              <w:rPr/>
            </w:pPr>
            <w:hyperlink w:anchor="changes">
              <w:r>
                <w:rPr>
                  <w:rStyle w:val="InternetLink"/>
                  <w:rFonts w:ascii="Times New Roman" w:hAnsi="Times New Roman"/>
                  <w:caps w:val="false"/>
                  <w:smallCaps w:val="false"/>
                  <w:sz w:val="20"/>
                  <w:u w:val="single"/>
                </w:rPr>
                <w:t>Changes in and Disagreements With Accountants on Accounting and Financial Disclosure</w:t>
              </w:r>
            </w:hyperlink>
          </w:p>
        </w:tc>
        <w:tc>
          <w:tcPr>
            <w:tcW w:w="440" w:type="dxa"/>
            <w:tcBorders/>
            <w:vAlign w:val="center"/>
          </w:tcPr>
          <w:p>
            <w:pPr>
              <w:pStyle w:val="TableContents"/>
              <w:bidi w:val="0"/>
              <w:spacing w:before="0" w:after="0"/>
              <w:ind w:left="0" w:right="0" w:hanging="0"/>
              <w:jc w:val="right"/>
              <w:rPr/>
            </w:pPr>
            <w:hyperlink w:anchor="changes">
              <w:r>
                <w:rPr>
                  <w:rStyle w:val="InternetLink"/>
                  <w:rFonts w:ascii="Times New Roman" w:hAnsi="Times New Roman"/>
                  <w:caps w:val="false"/>
                  <w:smallCaps w:val="false"/>
                  <w:sz w:val="20"/>
                </w:rPr>
                <w:t>54</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9A</w:t>
            </w:r>
          </w:p>
        </w:tc>
        <w:tc>
          <w:tcPr>
            <w:tcW w:w="902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u w:val="single"/>
                </w:rPr>
                <w:t>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54</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9B.</w:t>
            </w:r>
          </w:p>
        </w:tc>
        <w:tc>
          <w:tcPr>
            <w:tcW w:w="902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u w:val="single"/>
                </w:rPr>
                <w:t>Other Information</w:t>
              </w:r>
            </w:hyperlink>
          </w:p>
        </w:tc>
        <w:tc>
          <w:tcPr>
            <w:tcW w:w="44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54</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9C.</w:t>
            </w:r>
          </w:p>
        </w:tc>
        <w:tc>
          <w:tcPr>
            <w:tcW w:w="9020" w:type="dxa"/>
            <w:tcBorders/>
            <w:vAlign w:val="center"/>
          </w:tcPr>
          <w:p>
            <w:pPr>
              <w:pStyle w:val="TableContents"/>
              <w:bidi w:val="0"/>
              <w:spacing w:before="0" w:after="0"/>
              <w:ind w:left="0" w:right="0" w:hanging="0"/>
              <w:jc w:val="left"/>
              <w:rPr/>
            </w:pPr>
            <w:hyperlink w:anchor="disclosure">
              <w:r>
                <w:rPr>
                  <w:rStyle w:val="InternetLink"/>
                  <w:rFonts w:ascii="Times New Roman" w:hAnsi="Times New Roman"/>
                  <w:caps w:val="false"/>
                  <w:smallCaps w:val="false"/>
                  <w:sz w:val="20"/>
                  <w:u w:val="single"/>
                </w:rPr>
                <w:t>Disclosure Regarding Foreign Jurisdictions that Prevent Inspections</w:t>
              </w:r>
            </w:hyperlink>
          </w:p>
        </w:tc>
        <w:tc>
          <w:tcPr>
            <w:tcW w:w="440" w:type="dxa"/>
            <w:tcBorders/>
            <w:vAlign w:val="center"/>
          </w:tcPr>
          <w:p>
            <w:pPr>
              <w:pStyle w:val="TableContents"/>
              <w:bidi w:val="0"/>
              <w:spacing w:before="0" w:after="0"/>
              <w:ind w:left="0" w:right="0" w:hanging="0"/>
              <w:jc w:val="right"/>
              <w:rPr/>
            </w:pPr>
            <w:hyperlink w:anchor="disclosure">
              <w:r>
                <w:rPr>
                  <w:rStyle w:val="InternetLink"/>
                  <w:rFonts w:ascii="Times New Roman" w:hAnsi="Times New Roman"/>
                  <w:caps w:val="false"/>
                  <w:smallCaps w:val="false"/>
                  <w:sz w:val="20"/>
                </w:rPr>
                <w:t>54</w:t>
              </w:r>
            </w:hyperlink>
          </w:p>
        </w:tc>
      </w:tr>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ind w:left="0" w:right="0" w:hanging="0"/>
              <w:jc w:val="center"/>
              <w:rPr/>
            </w:pPr>
            <w:hyperlink w:anchor="part3">
              <w:r>
                <w:rPr>
                  <w:rStyle w:val="InternetLink"/>
                  <w:rFonts w:ascii="Times New Roman" w:hAnsi="Times New Roman"/>
                  <w:b/>
                  <w:caps w:val="false"/>
                  <w:smallCaps w:val="false"/>
                  <w:sz w:val="20"/>
                  <w:u w:val="single"/>
                </w:rPr>
                <w:t>PART III.</w:t>
              </w:r>
            </w:hyperlink>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10.</w:t>
            </w:r>
          </w:p>
        </w:tc>
        <w:tc>
          <w:tcPr>
            <w:tcW w:w="9020" w:type="dxa"/>
            <w:tcBorders/>
            <w:vAlign w:val="center"/>
          </w:tcPr>
          <w:p>
            <w:pPr>
              <w:pStyle w:val="TableContents"/>
              <w:bidi w:val="0"/>
              <w:spacing w:before="0" w:after="0"/>
              <w:ind w:left="0" w:right="0" w:hanging="0"/>
              <w:jc w:val="left"/>
              <w:rPr/>
            </w:pPr>
            <w:hyperlink w:anchor="trustees">
              <w:r>
                <w:rPr>
                  <w:rStyle w:val="InternetLink"/>
                  <w:rFonts w:ascii="Times New Roman" w:hAnsi="Times New Roman"/>
                  <w:caps w:val="false"/>
                  <w:smallCaps w:val="false"/>
                  <w:sz w:val="20"/>
                  <w:u w:val="single"/>
                </w:rPr>
                <w:t>Trustees, Executive Officers and Corporate Governance</w:t>
              </w:r>
            </w:hyperlink>
          </w:p>
        </w:tc>
        <w:tc>
          <w:tcPr>
            <w:tcW w:w="440" w:type="dxa"/>
            <w:tcBorders/>
            <w:vAlign w:val="center"/>
          </w:tcPr>
          <w:p>
            <w:pPr>
              <w:pStyle w:val="TableContents"/>
              <w:bidi w:val="0"/>
              <w:spacing w:before="0" w:after="0"/>
              <w:ind w:left="0" w:right="0" w:hanging="0"/>
              <w:jc w:val="right"/>
              <w:rPr/>
            </w:pPr>
            <w:hyperlink w:anchor="trustees">
              <w:r>
                <w:rPr>
                  <w:rStyle w:val="InternetLink"/>
                  <w:rFonts w:ascii="Times New Roman" w:hAnsi="Times New Roman"/>
                  <w:caps w:val="false"/>
                  <w:smallCaps w:val="false"/>
                  <w:sz w:val="20"/>
                </w:rPr>
                <w:t>55</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11.</w:t>
            </w:r>
          </w:p>
        </w:tc>
        <w:tc>
          <w:tcPr>
            <w:tcW w:w="9020" w:type="dxa"/>
            <w:tcBorders/>
            <w:vAlign w:val="center"/>
          </w:tcPr>
          <w:p>
            <w:pPr>
              <w:pStyle w:val="TableContents"/>
              <w:bidi w:val="0"/>
              <w:spacing w:before="0" w:after="0"/>
              <w:ind w:left="0" w:right="0" w:hanging="0"/>
              <w:jc w:val="left"/>
              <w:rPr/>
            </w:pPr>
            <w:hyperlink w:anchor="executive">
              <w:r>
                <w:rPr>
                  <w:rStyle w:val="InternetLink"/>
                  <w:rFonts w:ascii="Times New Roman" w:hAnsi="Times New Roman"/>
                  <w:caps w:val="false"/>
                  <w:smallCaps w:val="false"/>
                  <w:sz w:val="20"/>
                  <w:u w:val="single"/>
                </w:rPr>
                <w:t>Executive Compensation</w:t>
              </w:r>
            </w:hyperlink>
          </w:p>
        </w:tc>
        <w:tc>
          <w:tcPr>
            <w:tcW w:w="440" w:type="dxa"/>
            <w:tcBorders/>
            <w:vAlign w:val="center"/>
          </w:tcPr>
          <w:p>
            <w:pPr>
              <w:pStyle w:val="TableContents"/>
              <w:bidi w:val="0"/>
              <w:spacing w:before="0" w:after="0"/>
              <w:ind w:left="0" w:right="0" w:hanging="0"/>
              <w:jc w:val="right"/>
              <w:rPr/>
            </w:pPr>
            <w:hyperlink w:anchor="executive">
              <w:r>
                <w:rPr>
                  <w:rStyle w:val="InternetLink"/>
                  <w:rFonts w:ascii="Times New Roman" w:hAnsi="Times New Roman"/>
                  <w:caps w:val="false"/>
                  <w:smallCaps w:val="false"/>
                  <w:sz w:val="20"/>
                </w:rPr>
                <w:t>55</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12.</w:t>
            </w:r>
          </w:p>
        </w:tc>
        <w:tc>
          <w:tcPr>
            <w:tcW w:w="9020" w:type="dxa"/>
            <w:tcBorders/>
            <w:vAlign w:val="center"/>
          </w:tcPr>
          <w:p>
            <w:pPr>
              <w:pStyle w:val="TableContents"/>
              <w:bidi w:val="0"/>
              <w:spacing w:before="0" w:after="0"/>
              <w:ind w:left="0" w:right="0" w:hanging="0"/>
              <w:jc w:val="left"/>
              <w:rPr/>
            </w:pPr>
            <w:hyperlink w:anchor="security">
              <w:r>
                <w:rPr>
                  <w:rStyle w:val="InternetLink"/>
                  <w:rFonts w:ascii="Times New Roman" w:hAnsi="Times New Roman"/>
                  <w:caps w:val="false"/>
                  <w:smallCaps w:val="false"/>
                  <w:sz w:val="20"/>
                  <w:u w:val="single"/>
                </w:rPr>
                <w:t>Security Ownership of Certain Beneficial Owners and Management and Related Stockholder Matters</w:t>
              </w:r>
            </w:hyperlink>
          </w:p>
        </w:tc>
        <w:tc>
          <w:tcPr>
            <w:tcW w:w="440" w:type="dxa"/>
            <w:tcBorders/>
            <w:vAlign w:val="center"/>
          </w:tcPr>
          <w:p>
            <w:pPr>
              <w:pStyle w:val="TableContents"/>
              <w:bidi w:val="0"/>
              <w:spacing w:before="0" w:after="0"/>
              <w:ind w:left="0" w:right="0" w:hanging="0"/>
              <w:jc w:val="right"/>
              <w:rPr/>
            </w:pPr>
            <w:hyperlink w:anchor="security">
              <w:r>
                <w:rPr>
                  <w:rStyle w:val="InternetLink"/>
                  <w:rFonts w:ascii="Times New Roman" w:hAnsi="Times New Roman"/>
                  <w:caps w:val="false"/>
                  <w:smallCaps w:val="false"/>
                  <w:sz w:val="20"/>
                </w:rPr>
                <w:t>55</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13.</w:t>
            </w:r>
          </w:p>
        </w:tc>
        <w:tc>
          <w:tcPr>
            <w:tcW w:w="9020" w:type="dxa"/>
            <w:tcBorders/>
            <w:vAlign w:val="center"/>
          </w:tcPr>
          <w:p>
            <w:pPr>
              <w:pStyle w:val="TableContents"/>
              <w:bidi w:val="0"/>
              <w:spacing w:before="0" w:after="0"/>
              <w:ind w:left="0" w:right="0" w:hanging="0"/>
              <w:jc w:val="left"/>
              <w:rPr/>
            </w:pPr>
            <w:hyperlink w:anchor="certain">
              <w:r>
                <w:rPr>
                  <w:rStyle w:val="InternetLink"/>
                  <w:rFonts w:ascii="Times New Roman" w:hAnsi="Times New Roman"/>
                  <w:caps w:val="false"/>
                  <w:smallCaps w:val="false"/>
                  <w:sz w:val="20"/>
                  <w:u w:val="single"/>
                </w:rPr>
                <w:t>Certain Relationships and Related Transactions, and Trustee Independence</w:t>
              </w:r>
            </w:hyperlink>
          </w:p>
        </w:tc>
        <w:tc>
          <w:tcPr>
            <w:tcW w:w="440" w:type="dxa"/>
            <w:tcBorders/>
            <w:vAlign w:val="center"/>
          </w:tcPr>
          <w:p>
            <w:pPr>
              <w:pStyle w:val="TableContents"/>
              <w:bidi w:val="0"/>
              <w:spacing w:before="0" w:after="0"/>
              <w:ind w:left="0" w:right="0" w:hanging="0"/>
              <w:jc w:val="right"/>
              <w:rPr/>
            </w:pPr>
            <w:hyperlink w:anchor="certain">
              <w:r>
                <w:rPr>
                  <w:rStyle w:val="InternetLink"/>
                  <w:rFonts w:ascii="Times New Roman" w:hAnsi="Times New Roman"/>
                  <w:caps w:val="false"/>
                  <w:smallCaps w:val="false"/>
                  <w:sz w:val="20"/>
                </w:rPr>
                <w:t>55</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14.</w:t>
            </w:r>
          </w:p>
        </w:tc>
        <w:tc>
          <w:tcPr>
            <w:tcW w:w="9020" w:type="dxa"/>
            <w:tcBorders/>
            <w:vAlign w:val="center"/>
          </w:tcPr>
          <w:p>
            <w:pPr>
              <w:pStyle w:val="TableContents"/>
              <w:bidi w:val="0"/>
              <w:spacing w:before="0" w:after="0"/>
              <w:ind w:left="0" w:right="0" w:hanging="0"/>
              <w:jc w:val="left"/>
              <w:rPr/>
            </w:pPr>
            <w:hyperlink w:anchor="principal">
              <w:r>
                <w:rPr>
                  <w:rStyle w:val="InternetLink"/>
                  <w:rFonts w:ascii="Times New Roman" w:hAnsi="Times New Roman"/>
                  <w:caps w:val="false"/>
                  <w:smallCaps w:val="false"/>
                  <w:sz w:val="20"/>
                  <w:u w:val="single"/>
                </w:rPr>
                <w:t>Principal Accountant Fees and Services</w:t>
              </w:r>
            </w:hyperlink>
          </w:p>
        </w:tc>
        <w:tc>
          <w:tcPr>
            <w:tcW w:w="440" w:type="dxa"/>
            <w:tcBorders/>
            <w:vAlign w:val="center"/>
          </w:tcPr>
          <w:p>
            <w:pPr>
              <w:pStyle w:val="TableContents"/>
              <w:bidi w:val="0"/>
              <w:spacing w:before="0" w:after="0"/>
              <w:ind w:left="0" w:right="0" w:hanging="0"/>
              <w:jc w:val="right"/>
              <w:rPr/>
            </w:pPr>
            <w:hyperlink w:anchor="principal">
              <w:r>
                <w:rPr>
                  <w:rStyle w:val="InternetLink"/>
                  <w:rFonts w:ascii="Times New Roman" w:hAnsi="Times New Roman"/>
                  <w:caps w:val="false"/>
                  <w:smallCaps w:val="false"/>
                  <w:sz w:val="20"/>
                </w:rPr>
                <w:t>55</w:t>
              </w:r>
            </w:hyperlink>
          </w:p>
        </w:tc>
      </w:tr>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ind w:left="0" w:right="0" w:hanging="0"/>
              <w:jc w:val="center"/>
              <w:rPr/>
            </w:pPr>
            <w:hyperlink w:anchor="part4">
              <w:r>
                <w:rPr>
                  <w:rStyle w:val="InternetLink"/>
                  <w:rFonts w:ascii="Times New Roman" w:hAnsi="Times New Roman"/>
                  <w:b/>
                  <w:caps w:val="false"/>
                  <w:smallCaps w:val="false"/>
                  <w:sz w:val="20"/>
                  <w:u w:val="single"/>
                </w:rPr>
                <w:t>PART IV.</w:t>
              </w:r>
            </w:hyperlink>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15.</w:t>
            </w:r>
          </w:p>
        </w:tc>
        <w:tc>
          <w:tcPr>
            <w:tcW w:w="902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u w:val="single"/>
                </w:rPr>
                <w:t>Exhibits and Financial Statement Schedules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56</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report contains forward-looking statements within the meaning of Section 27A of the Securities Act of 1933, as amended (the "Securities Act") and Section 21E of the Securities Exchange Act of 1934 as amended (the "Exchange Act"), and as such may involve known and unknown risks, uncertainties, assumptions and other factors which may cause our actual results, performance or achievements to be materially different from future results, performance or achievements expressed or implied by such forward-looking statements. Forward-looking statements, which are based on certain assumptions and describe our future plans, strategies and expectations, are generally identified by our use of words, such as "intend," "plan," "may," "should," "will," "project," "estimate," "anticipate," "believe," "expect," "continue," "potential," "opportunity," or similar expressions, whether in the negative or affirmative. These forward-looking statements include information about possible or assumed future results of our business, financial condition, liquidity, results of operations, plans and objectives. Statements regarding the following subjects, among others, are forward-looking by their nature:</w:t>
      </w:r>
    </w:p>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60"/>
        <w:gridCol w:w="110"/>
        <w:gridCol w:w="95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business and investment strategy;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forecasted operating results;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completion of hotel acquisitions and dispositions;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completion of hotel developments;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future financing arrangements;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expected leverage levels;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understanding of our competition;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 and lodging industry trends and expectations;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investment in joint ventures;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anticipated capital expenditures;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our qualification as a real estate investment trust ("REIT") for U.S. federal income tax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forward-looking statements are based on our beliefs, assumptions and expectations of our future performance, taking into account all information available to us at the time the forward-looking statements are made. These beliefs, assumptions and expectations can change as a result of many possible events or factors, not all of which are known to us. If a change occurs, our business, prospects, financial condition, liquidity and results of operations may vary materially from those expressed in our forward-looking statements. You should carefully consider these risks when you make an investment decision concerning our common shares. Additionally, the following factors could cause actual results to vary from our forward-looking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factors included in this report, including those set forth under the sections titled “Business,” “Risk Factors” and “Management’s Discussion and Analysis of Financial Condition and Results of Operations” and in other reports that we file with the United States Securities and Exchange Commission ("SEC"), or in other documents that we publicly disseminate;</w:t>
            </w:r>
          </w:p>
        </w:tc>
      </w:tr>
    </w:tbl>
    <w:tbl>
      <w:tblPr>
        <w:tblW w:w="6640" w:type="dxa"/>
        <w:jc w:val="left"/>
        <w:tblInd w:w="0" w:type="dxa"/>
        <w:tblLayout w:type="fixed"/>
        <w:tblCellMar>
          <w:top w:w="0" w:type="dxa"/>
          <w:left w:w="0" w:type="dxa"/>
          <w:bottom w:w="0" w:type="dxa"/>
          <w:right w:w="0" w:type="dxa"/>
        </w:tblCellMar>
      </w:tblPr>
      <w:tblGrid>
        <w:gridCol w:w="60"/>
        <w:gridCol w:w="110"/>
        <w:gridCol w:w="64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volatility of the financial markets and the market price of our securities;</w:t>
            </w:r>
          </w:p>
        </w:tc>
      </w:tr>
    </w:tbl>
    <w:tbl>
      <w:tblPr>
        <w:tblW w:w="4030" w:type="dxa"/>
        <w:jc w:val="left"/>
        <w:tblInd w:w="0" w:type="dxa"/>
        <w:tblLayout w:type="fixed"/>
        <w:tblCellMar>
          <w:top w:w="0" w:type="dxa"/>
          <w:left w:w="0" w:type="dxa"/>
          <w:bottom w:w="0" w:type="dxa"/>
          <w:right w:w="0" w:type="dxa"/>
        </w:tblCellMar>
      </w:tblPr>
      <w:tblGrid>
        <w:gridCol w:w="60"/>
        <w:gridCol w:w="110"/>
        <w:gridCol w:w="38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 of the lodging industry in general;</w:t>
            </w:r>
          </w:p>
        </w:tc>
      </w:tr>
    </w:tbl>
    <w:tbl>
      <w:tblPr>
        <w:tblW w:w="3715" w:type="dxa"/>
        <w:jc w:val="left"/>
        <w:tblInd w:w="0" w:type="dxa"/>
        <w:tblLayout w:type="fixed"/>
        <w:tblCellMar>
          <w:top w:w="0" w:type="dxa"/>
          <w:left w:w="0" w:type="dxa"/>
          <w:bottom w:w="0" w:type="dxa"/>
          <w:right w:w="0" w:type="dxa"/>
        </w:tblCellMar>
      </w:tblPr>
      <w:tblGrid>
        <w:gridCol w:w="60"/>
        <w:gridCol w:w="110"/>
        <w:gridCol w:w="3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business interruptions due to cyber-attacks;</w:t>
            </w:r>
          </w:p>
        </w:tc>
      </w:tr>
    </w:tbl>
    <w:tbl>
      <w:tblPr>
        <w:tblW w:w="5275" w:type="dxa"/>
        <w:jc w:val="left"/>
        <w:tblInd w:w="0" w:type="dxa"/>
        <w:tblLayout w:type="fixed"/>
        <w:tblCellMar>
          <w:top w:w="0" w:type="dxa"/>
          <w:left w:w="0" w:type="dxa"/>
          <w:bottom w:w="0" w:type="dxa"/>
          <w:right w:w="0" w:type="dxa"/>
        </w:tblCellMar>
      </w:tblPr>
      <w:tblGrid>
        <w:gridCol w:w="60"/>
        <w:gridCol w:w="110"/>
        <w:gridCol w:w="51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impacts on our business of a prolonged government shutdown;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decreased travel because of geopolitical events, including terrorism, outbreaks of disease like COVID-19 and current U.S. government policies;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ultimate geographic spread, severity and duration of pandemics such as COVID-19, actions that may be taken by governmental authorities to contain or address the impact of such pandemics, and the potential negative impacts of such pandemics on the global economy and our financial condition and results of operations;</w:t>
            </w:r>
          </w:p>
        </w:tc>
      </w:tr>
    </w:tbl>
    <w:tbl>
      <w:tblPr>
        <w:tblW w:w="4015" w:type="dxa"/>
        <w:jc w:val="left"/>
        <w:tblInd w:w="0" w:type="dxa"/>
        <w:tblLayout w:type="fixed"/>
        <w:tblCellMar>
          <w:top w:w="0" w:type="dxa"/>
          <w:left w:w="0" w:type="dxa"/>
          <w:bottom w:w="0" w:type="dxa"/>
          <w:right w:w="0" w:type="dxa"/>
        </w:tblCellMar>
      </w:tblPr>
      <w:tblGrid>
        <w:gridCol w:w="60"/>
        <w:gridCol w:w="110"/>
        <w:gridCol w:w="3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our business or investment strategy;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3895" w:type="dxa"/>
        <w:jc w:val="left"/>
        <w:tblInd w:w="0" w:type="dxa"/>
        <w:tblLayout w:type="fixed"/>
        <w:tblCellMar>
          <w:top w:w="0" w:type="dxa"/>
          <w:left w:w="0" w:type="dxa"/>
          <w:bottom w:w="0" w:type="dxa"/>
          <w:right w:w="0" w:type="dxa"/>
        </w:tblCellMar>
      </w:tblPr>
      <w:tblGrid>
        <w:gridCol w:w="60"/>
        <w:gridCol w:w="110"/>
        <w:gridCol w:w="37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availability, terms and deployment of capital;</w:t>
            </w:r>
          </w:p>
        </w:tc>
      </w:tr>
    </w:tbl>
    <w:tbl>
      <w:tblPr>
        <w:tblW w:w="5890" w:type="dxa"/>
        <w:jc w:val="left"/>
        <w:tblInd w:w="0" w:type="dxa"/>
        <w:tblLayout w:type="fixed"/>
        <w:tblCellMar>
          <w:top w:w="0" w:type="dxa"/>
          <w:left w:w="0" w:type="dxa"/>
          <w:bottom w:w="0" w:type="dxa"/>
          <w:right w:w="0" w:type="dxa"/>
        </w:tblCellMar>
      </w:tblPr>
      <w:tblGrid>
        <w:gridCol w:w="60"/>
        <w:gridCol w:w="110"/>
        <w:gridCol w:w="57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availability of and our ability to attract and retain qualified personnel;</w:t>
            </w:r>
          </w:p>
        </w:tc>
      </w:tr>
    </w:tbl>
    <w:tbl>
      <w:tblPr>
        <w:tblW w:w="1780" w:type="dxa"/>
        <w:jc w:val="left"/>
        <w:tblInd w:w="0" w:type="dxa"/>
        <w:tblLayout w:type="fixed"/>
        <w:tblCellMar>
          <w:top w:w="0" w:type="dxa"/>
          <w:left w:w="0" w:type="dxa"/>
          <w:bottom w:w="0" w:type="dxa"/>
          <w:right w:w="0" w:type="dxa"/>
        </w:tblCellMar>
      </w:tblPr>
      <w:tblGrid>
        <w:gridCol w:w="60"/>
        <w:gridCol w:w="110"/>
        <w:gridCol w:w="16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leverage levels;</w:t>
            </w:r>
          </w:p>
        </w:tc>
      </w:tr>
    </w:tbl>
    <w:tbl>
      <w:tblPr>
        <w:tblW w:w="2215" w:type="dxa"/>
        <w:jc w:val="left"/>
        <w:tblInd w:w="0" w:type="dxa"/>
        <w:tblLayout w:type="fixed"/>
        <w:tblCellMar>
          <w:top w:w="0" w:type="dxa"/>
          <w:left w:w="0" w:type="dxa"/>
          <w:bottom w:w="0" w:type="dxa"/>
          <w:right w:w="0" w:type="dxa"/>
        </w:tblCellMar>
      </w:tblPr>
      <w:tblGrid>
        <w:gridCol w:w="60"/>
        <w:gridCol w:w="110"/>
        <w:gridCol w:w="20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capital expenditures;</w:t>
            </w:r>
          </w:p>
        </w:tc>
      </w:tr>
    </w:tbl>
    <w:tbl>
      <w:tblPr>
        <w:tblW w:w="9880" w:type="dxa"/>
        <w:jc w:val="left"/>
        <w:tblInd w:w="0" w:type="dxa"/>
        <w:tblLayout w:type="fixed"/>
        <w:tblCellMar>
          <w:top w:w="0" w:type="dxa"/>
          <w:left w:w="0" w:type="dxa"/>
          <w:bottom w:w="0" w:type="dxa"/>
          <w:right w:w="0" w:type="dxa"/>
        </w:tblCellMar>
      </w:tblPr>
      <w:tblGrid>
        <w:gridCol w:w="60"/>
        <w:gridCol w:w="110"/>
        <w:gridCol w:w="97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our industry and the markets in which we operate, interest rates or the general U.S. or international economy;</w:t>
            </w:r>
          </w:p>
        </w:tc>
      </w:tr>
    </w:tbl>
    <w:tbl>
      <w:tblPr>
        <w:tblW w:w="7615" w:type="dxa"/>
        <w:jc w:val="left"/>
        <w:tblInd w:w="0" w:type="dxa"/>
        <w:tblLayout w:type="fixed"/>
        <w:tblCellMar>
          <w:top w:w="0" w:type="dxa"/>
          <w:left w:w="0" w:type="dxa"/>
          <w:bottom w:w="0" w:type="dxa"/>
          <w:right w:w="0" w:type="dxa"/>
        </w:tblCellMar>
      </w:tblPr>
      <w:tblGrid>
        <w:gridCol w:w="60"/>
        <w:gridCol w:w="110"/>
        <w:gridCol w:w="74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maintain our qualification as a REIT for U.S. federal income tax purposes; and</w:t>
            </w:r>
          </w:p>
        </w:tc>
      </w:tr>
    </w:tbl>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degree and nature of our competition.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forward-looking statements speak only as of the date of this report or, in the case of any document incorporated by reference, the date of that document. All subsequent written and oral forward-looking statements attributable to us or any person acting on our behalf are qualified by the cautionary statements in this section. New risks and uncertainties arise over time and it is not possible to predict those events or how they may affect us. We undertake no obligation to update or publicly release any revisions to forward-looking statements to reflect events, circumstances or changes in expectations after the date of this report, except as required by law. Such forward-looking statements should be read in light of the risk factors identified in the "Risk Factors" section of this Annual Report on Form 10-K.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w:t>
      </w:r>
    </w:p>
    <w:p>
      <w:pPr>
        <w:pStyle w:val="TextBody"/>
        <w:bidi w:val="0"/>
        <w:spacing w:before="0" w:after="0"/>
        <w:ind w:left="0" w:right="0" w:hanging="0"/>
        <w:jc w:val="left"/>
        <w:rPr>
          <w:rFonts w:ascii="Times New Roman" w:hAnsi="Times New Roman"/>
          <w:b/>
          <w:caps w:val="false"/>
          <w:smallCaps w:val="false"/>
          <w:sz w:val="20"/>
        </w:rPr>
      </w:pPr>
      <w:bookmarkStart w:id="4" w:name="business"/>
      <w:bookmarkEnd w:id="4"/>
      <w:r>
        <w:rPr>
          <w:rFonts w:ascii="Times New Roman" w:hAnsi="Times New Roman"/>
          <w:b/>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Dollar amounts presented in this Item 1 are in thousands, except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Chatham Lodging Trust (“we,” “us” or the “Company”) was formed as a Maryland real estate investment trust on October 26, 2009. We elected to be taxed as a REIT for federal income tax purposes commencing with our 2010 taxable year. The Company is internally-managed and invests primarily in upscale extended-stay and premium-branded select-service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had no operations prior to the consummation of our initial public offering ("IPO") in April 2010. The net proceeds from our share offerings are contributed to Chatham Lodging, L.P., our operating partnership (the “Operating Partnership”), in exchange for partnership interests. Substantially all of the Company’s assets are held by, and all of its operations are conducted through, the Operating Partnership. Chatham Lodging Trust is the sole general partner of the Operating Partnership and owns 100% of the common units of limited partnership interest in the Operating Partnership ("common units"). Certain of the Company's executive officers hold vested and unvested long-term incentive plan units in the Operating Partnership ("LTIP Units"), which are presented as non-controlling interests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2025, the Company owned 33 hotels with an aggregate of 5,021 rooms located in 15 states and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maintain our qualification as a REIT, the Company cannot operate its hotels. Therefore, the Operating Partnership and its subsidiaries lease our wholly owned hotels to taxable REIT subsidiary lessees (“TRS Lessees”), which are wholly owned by the Company’s taxable REIT subsidiary (“TRS”) holding company. Each hotel is leased to a TRS Lessee under a percentage lease that provides for rental payments equal to the greater of (i) a fixed base rent amount or (ii) a percentage rent based on hotel room revenue. Lease revenue from each TRS Lessee is eliminated in consolidation. The TRS Lessees have entered into management agreements with third-party management companies that provide day-to-day management for the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2025, Island Hospitality Management, LLC (“IHM”), which is 100% owned by Jeffrey H. Fisher, the Company's Chairman, President and Chief Executive Officer, managed all of the Company’s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2025, our hotels include upscale extended-stay hotels that operate under the Residence Inn by Marriott® brand (sixteen hotels), the Homewood Suites by Hilton® brand (two hotels), the Home2 Suites by Hilton® brand (two hotels) and the TownePlace Suites by Marriott® brand (one hotel), as well as premium-branded select-service hotels that operate under the Courtyard by Marriott® brand (three hotels), the Hampton Inn or Hampton Inn and Suites by Hilton® brand (two hotels), the Hilton Garden Inn by Hilton® brand (three hotels), the SpringHill Suites by Marriott® brand (one hotel), the Hyatt Place® brand (two hotels), and all-suite hotels that operate under the upper upscale Embassy Suites® brand (one hotel).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primarily invest in upscale extended-stay hotels such as Homewood Suites by Hilton®, Residence Inn by Marriott®, Home2 Suites by Hilton®, and TownePlace Suites by Marriott®. We also invest in upscale or upper upscale all-suite hotels such as SpringHill Suites by Marriott® and Embassy Suites®. Extended-stay and all-suite hotels typically have the following characteristics: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customer base includes business travelers, whether short-term transient travelers or those on extended assignments and corporate relocations;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amenities include complimentary breakfast, high-speed internet access, in-room movie channels, limited meeting space, linen and room cleaning service, 24-hour front desk, guest grocery services, and an on-site maintenance staff;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physical facilities include large suites, quality construction, full separate kitchens in each guest suite or suites that include a wet bar, refrigerator and microwave, quality room furnishings, pool, and exercise facilities.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we invest in premium-branded select-service hotels such as Courtyard by Marriott®, Hampton Inn®, Hampton Inn and Suites by Hilton®, Hyatt Place® and Hilton Garden Inn by Hilton®. The service and amenity offerings of these hotels typically include complimentary breakfast or a smaller for pay breakfast or evening dining option, high-speed internet access, local calls, in-room movie channels, and linen and room cleaning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Information About Industry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evaluate all of our hotels as a single industry segment because all of our hotels have similar economic characteristics and provide similar services to similar types of customers. Accordingly, we do not report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Business Strategy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objective is to generate attractive returns for our shareholders through investing in hotel properties (whether wholly owned or through a joint venture) at prices that provide strong returns on invested capital, paying dividends and generating long-term value appreciation. We believe we can create long-term value by pursuing the following strategies: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Disciplined acquisition of hotel properties:</w:t>
            </w:r>
            <w:r>
              <w:rPr>
                <w:rFonts w:ascii="Times New Roman" w:hAnsi="Times New Roman"/>
                <w:caps w:val="false"/>
                <w:smallCaps w:val="false"/>
                <w:sz w:val="20"/>
              </w:rPr>
              <w:t>  We invest primarily in premium-branded upscale extended-stay and select-service hotels with a focus on the 25 largest metropolitan markets in the United States. We focus on acquiring hotel properties at prices below replacement cost in markets that have strong demand generators and where we expect demand growth will outpace new supply. We also seek to acquire properties that we believe are undermanaged or undercapitalized.</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Opportunistic hotel repositioning:</w:t>
            </w:r>
            <w:r>
              <w:rPr>
                <w:rFonts w:ascii="Times New Roman" w:hAnsi="Times New Roman"/>
                <w:caps w:val="false"/>
                <w:smallCaps w:val="false"/>
                <w:sz w:val="20"/>
              </w:rPr>
              <w:t>  We employ value-added strategies, such as re-branding, renovating, expanding or changing management, when we believe such strategies will increase the operating results and values of the hotels we acquire.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Aggressive asset management:</w:t>
            </w:r>
            <w:r>
              <w:rPr>
                <w:rFonts w:ascii="Times New Roman" w:hAnsi="Times New Roman"/>
                <w:caps w:val="false"/>
                <w:smallCaps w:val="false"/>
                <w:sz w:val="20"/>
              </w:rPr>
              <w:t>  Although as a REIT we cannot operate our hotels, we proactively manage our third-party hotel manager in seeking to maximize hotel operating performance. Our asset management activities seek to ensure that our third-party hotel manager effectively utilizes franchise brands' marketing programs, develops effective sales management policies and plans, operates properties efficiently, controls costs, and develops operational initiatives for our hotels that increase guest satisfaction. As part of our asset management activities, we regularly review opportunities to reinvest in our hotels to maintain quality, increase long-term value and generate attractive returns on invested capital.</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Selective hotel development: </w:t>
            </w:r>
            <w:r>
              <w:rPr>
                <w:rFonts w:ascii="Times New Roman" w:hAnsi="Times New Roman"/>
                <w:caps w:val="false"/>
                <w:smallCaps w:val="false"/>
                <w:sz w:val="20"/>
              </w:rPr>
              <w:t>We may consider developing a limited number of hotels in cases where we believe newly developed hotels will generate attractive returns and enhance the quality of our hotel portfolio.</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Flexible selection of hotel management companies</w:t>
            </w:r>
            <w:r>
              <w:rPr>
                <w:rFonts w:ascii="Times New Roman" w:hAnsi="Times New Roman"/>
                <w:caps w:val="false"/>
                <w:smallCaps w:val="false"/>
                <w:sz w:val="20"/>
              </w:rPr>
              <w:t>: We are flexible in our selection of hotel management companies and select managers that we believe will maximize the performance of our hotels. We utilize independent management companies, including IHM, a hotel management company 100% owned by Mr. Fisher that as of December 31, 2025, managed all of our hotels. We believe this strategy increases the universe of potential acquisition opportunities we can consider because many hotel properties are encumbered by long-term management contracts.</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Selective investment in hotel debt:</w:t>
            </w:r>
            <w:r>
              <w:rPr>
                <w:rFonts w:ascii="Times New Roman" w:hAnsi="Times New Roman"/>
                <w:caps w:val="false"/>
                <w:smallCaps w:val="false"/>
                <w:sz w:val="20"/>
              </w:rPr>
              <w:t>  We may consider selectively investing in debt collateralized by hotel property if we believe we can foreclose on or acquire ownership of the underlying hotel property in the relative near term. We do not intend to invest in any debt where we do not expect to gain ownership of the underlying property or to originate any debt financing.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plan to maintain a prudent capital structure and intend to maintain our leverage over the long term at a ratio of net debt to investment in hotels at cost (defined as our initial acquisition price plus the gross amount of any subsequent capital investment) at a level that will be similar to the levels at which we have operated in the past. We have maintained a leverage ratio between the low 20s and the low 50s. A subsequent decrease in hotel property values will not necessarily cause us to repay debt to comply with this target. At December 31, 2025, our leverage ratio was approximately 20.1 percent, which decreased from 23.1 percent at December 31, 2024. Over time, we intend to finance our growth with free cash flow, debt and issuances of common shares and/or preferred shares. Our debt may include mortgage debt collateralized by our hotel properties and unsecured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When purchasing hotel properties, we may issue common units in our Operating Partnership as full or partial consideration to sellers who may desire to take advantage of tax deferral on the sale of a hotel or participate in the potential appreciation in value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face competition for investments in hotel properties from institutional pension funds, private equity investors, REITs, hotel companies and others who are engaged in hotel investments. Some of these entities have substantially greater financial and operational resources than we have or may be willing to use higher leverage. This competition may increase the bargaining power of property owners seeking to sell, reduce the number of suitable investment opportunities available to us and increase the cost of acquiring our targeted hotel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lodging industry is highly competitive. Our hotels compete with other hotels, and alternative lodging marketplaces, for guests in each market in which they operate. Competitive advantage is based on a number of factors, including location, convenience, brand affiliation, room rates, range of services and guest amenities or accommodations offered and quality of customer service. Competition is often specific to the individual markets in which our hotels are located and includes competition from existing and new hotels and alternative lodging market places. Competition could adversely affect our occupancy rates, our average daily rates ("ADR") and revenue per available room (“RevPAR”), and may require us to provide additional amenities or make capital improvements that we otherwise would not have to make, which may reduce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Demand for our hotels is affected by recurring seasonal patterns. Generally, we expect that we will have lower revenue, operating income and cash flow in the first and fourth quarters and higher revenue, operating income and cash flow in the second and third quarters. These general trends are, however, influenced by overall economic cycles and the geographic locations of our hotels. To the extent that cash flow from operations is insufficient during any quarter, due to temporary or seasonal fluctuations in revenue, we expect to utilize cash on hand or borrowings under our credit facility to pay expenses, debt service or to make distributions to our equity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properties are subject to various covenants, laws, ordinances and regulations, including regulations relating to common areas and fire and safety requirements. We believe each of our hotels has the necessary permits and approvals to operate its business, and each is adequately covered by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Americans with Disabilities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properties must comply with Title III of the Americans with Disabilities Act of 1990 ("ADA") to the extent that such properties are "public accommodations" as defined by the ADA. Under the ADA, all public accommodations must meet federal requirements related to access and use by disabled persons. The ADA may require removal of structural barriers to access by persons with disabilities in certain public areas of our properties where such removal is readily achievable. Although we believe that our hotel properties substantially comply with present requirements of the ADA, we have not conducted a comprehensive audit or investigation of all of these properties to determine compliance, and one or more properties may not be fully compliant with the 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are required to make substantial modifications to our hotel properties, whether to comply with the ADA or other changes in governmental rules and regulations, our financial condition, results of operations, the market price of our common shares and our ability to make distributions to our shareholders could be adversely affected. The obligation to make readily achievable accommodations is ongoing, and we will continue to assess our properties and to make alterations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Environmental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various federal, state and local laws, ordinances and regulations, an owner of real property may be liable for the costs of removal or remediation of certain hazardous or toxic substances on or in such property. Such laws often impose such liability without regard to whether the owner knew of or was responsible for, the presence of such hazardous or toxic substances. The cost of any required remediation and the owner's liability therefore as to any property are generally not limited under such laws and could exceed the value of the property and/or the aggregate assets of the owner. The presence of such substances, or the failure to properly remediate contamination from such substances, may adversely affect the owner's ability to sell the real estate or to borrow funds using such property as collateral, which could have an adverse effect on our return from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Furthermore, various court decisions have established that third parties may recover damages for injury caused by release of hazardous substances and for property contamination. For instance, a person exposed to asbestos while working at or staying in a hotel may seek to recover damages if he or she suffers injury from the asbestos. Lastly, some of these environmental issues restrict the use of a property or place conditions on various activities. One example is laws that require a business using chemicals to manage them carefully and to notify local officials if regulated spills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it is our policy to require an acceptable Phase I environmental site assessment for all real property in which we invest prior to our investment, such surveys are limited in scope. As a result, there can be no assurance that a Phase I environmental site assessment will uncover any or all hazardous or toxic substances on a property prior to our investment in that property. We cannot assure you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 are not existing environmental liabilities related to our properties of which we are not aware;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future laws, ordinances or regulations will not impose material environmental liability; or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current environmental condition of a hotel will not be affected by the condition of properties in the vicinity of the hotel (such as the presence of leaking underground storage tanks) or by third parties unrelated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Tax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elected to be taxed as a REIT for federal income tax purposes commencing with our short taxable year ended December 31, 2010 under the Internal Revenue Code of 1986, as amended (the “Code”). Our qualification as a REIT depends upon our ability to meet, on a continuing basis, through actual investment and operating results, various complex requirements under the Code relating to, among other things, the sources of our gross income, the composition and values of our assets, our distribution levels and the diversity of ownership of our shares of beneficial interest. We believe that we are organized in conformity with the requirements for qualification as a REIT under the Code and that our current and intended manner of operation will enable us to continue to meet the requirements for qualification and taxation as a REIT for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REIT, we generally will not be subject to federal income tax on our REIT taxable income that we distribute to our shareholders. Under the Code, REITs are subject to numerous organizational and operational requirements, including a requirement that they distribute each year at least 90% of their REIT taxable income, determined without regard to the deduction for dividends paid and excluding any net capital gains. If we fail to qualify for taxation as a REIT in any taxable year and do not qualify for certain statutory relief provisions, our income for that year will be taxed at regular corporate rates, and we will be disqualified from taxation as a REIT for the four taxable years following the year during which we ceased to qualify as a REIT. Even if we qualify as a REIT for federal income tax purposes, we may still be subject to state and local taxes on our income and assets and to federal income and excise taxes on our undistributed income. Additionally, any income earned by our TRS Lessees will be fully subject to federal, state and local corporate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Hotel Management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management agreements with IHM have an initial term of five years and will automatically renew for two successive five-year periods unless IHM provides written notice no later than 90 days prior to the then-current term's expiration date of their intent not to renew. The IHM management agreements provide for early termination at the Company’s option upon sale of any IHM-managed hotel for no termination fee, with six months' advance notice. The IHM management agreements may be terminated for cause, including the failure of the managed hotel to meet specified performance levels. Base management fees are calculated as a percentage of the hotel's gross room revenue. If certain financial thresholds are met or exceeded, an incentive management fee is calculated as 10% of the hotel's net operating income less fixed costs, base management fees and a specified return threshold. The incentive management fee is capped at 1% of gross hotel revenues for the applicable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2025, certain key terms of our management agreements for our 33 hotels were as follows (dollars are not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5"/>
        <w:gridCol w:w="60"/>
        <w:gridCol w:w="1130"/>
        <w:gridCol w:w="60"/>
        <w:gridCol w:w="202"/>
        <w:gridCol w:w="928"/>
        <w:gridCol w:w="185"/>
        <w:gridCol w:w="60"/>
        <w:gridCol w:w="199"/>
        <w:gridCol w:w="781"/>
        <w:gridCol w:w="60"/>
        <w:gridCol w:w="60"/>
        <w:gridCol w:w="230"/>
        <w:gridCol w:w="900"/>
        <w:gridCol w:w="60"/>
        <w:gridCol w:w="60"/>
        <w:gridCol w:w="201"/>
        <w:gridCol w:w="929"/>
        <w:gridCol w:w="185"/>
      </w:tblGrid>
      <w:tr>
        <w:trPr/>
        <w:tc>
          <w:tcPr>
            <w:tcW w:w="3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Incentive</w:t>
            </w:r>
          </w:p>
        </w:tc>
        <w:tc>
          <w:tcPr>
            <w:tcW w:w="185" w:type="dxa"/>
            <w:tcBorders/>
            <w:shd w:fill="FFFFFF" w:val="clear"/>
            <w:vAlign w:val="center"/>
          </w:tcPr>
          <w:p>
            <w:pPr>
              <w:pStyle w:val="TableContents"/>
              <w:bidi w:val="0"/>
              <w:spacing w:before="0" w:after="283"/>
              <w:jc w:val="left"/>
              <w:rPr/>
            </w:pPr>
            <w:r>
              <w:rPr/>
              <w:t> </w:t>
            </w:r>
          </w:p>
        </w:tc>
      </w:tr>
      <w:tr>
        <w:trPr/>
        <w:tc>
          <w:tcPr>
            <w:tcW w:w="391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w:t>
            </w:r>
          </w:p>
        </w:tc>
        <w:tc>
          <w:tcPr>
            <w:tcW w:w="185" w:type="dxa"/>
            <w:tcBorders/>
            <w:shd w:fill="FFFFFF" w:val="clear"/>
            <w:vAlign w:val="center"/>
          </w:tcPr>
          <w:p>
            <w:pPr>
              <w:pStyle w:val="TableContents"/>
              <w:bidi w:val="0"/>
              <w:spacing w:before="0" w:after="283"/>
              <w:jc w:val="left"/>
              <w:rPr/>
            </w:pPr>
            <w:r>
              <w:rPr/>
              <w:t> </w:t>
            </w:r>
          </w:p>
        </w:tc>
      </w:tr>
      <w:tr>
        <w:trPr/>
        <w:tc>
          <w:tcPr>
            <w:tcW w:w="39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 Cap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Homewood Suites by Hilton Hartford-Farmington</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Long Island Holtsville</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White Plains</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New Rochelle</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Garden Grove</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Homewood Suites by Hilton San Antonio River Walk</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Washington DC</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Tysons Corner</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 Portland Downtown</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Place Pittsburgh North Shore</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 Exeter</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Bellevue</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SpringHill Suites Savannah</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Silicon Valley I</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Silicon Valley II</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San Mateo</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Mountain View</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Place Cherry Creek</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Addison</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San Diego Gaslamp</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Marina del Rey</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Dedham</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Il Lugano</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Portsmouth</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Summerville</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Embassy Suites Springfield</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Summerville</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Dallas</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Austin Northwest/The Domain Area</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TownePlace Suites Austin Northwest/The Domain Area</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Home2 Suites Woodland Hills</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Destin Miramar Beach</w:t>
            </w:r>
          </w:p>
        </w:tc>
        <w:tc>
          <w:tcPr>
            <w:tcW w:w="60" w:type="dxa"/>
            <w:tcBorders/>
            <w:shd w:fill="FFFFFF" w:val="clear"/>
            <w:vAlign w:val="center"/>
          </w:tcPr>
          <w:p>
            <w:pPr>
              <w:pStyle w:val="TableContents"/>
              <w:bidi w:val="0"/>
              <w:spacing w:before="0" w:after="283"/>
              <w:ind w:left="0" w:right="0" w:hanging="0"/>
              <w:jc w:val="center"/>
              <w:rPr/>
            </w:pPr>
            <w:r>
              <w:rPr/>
              <w:t> </w:t>
            </w:r>
          </w:p>
        </w:tc>
        <w:tc>
          <w:tcPr>
            <w:tcW w:w="113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Home2 Suites Phoenix Downtown</w:t>
            </w:r>
          </w:p>
        </w:tc>
        <w:tc>
          <w:tcPr>
            <w:tcW w:w="60" w:type="dxa"/>
            <w:tcBorders/>
            <w:shd w:fill="CCEEFF" w:val="clear"/>
            <w:vAlign w:val="center"/>
          </w:tcPr>
          <w:p>
            <w:pPr>
              <w:pStyle w:val="TableContents"/>
              <w:bidi w:val="0"/>
              <w:spacing w:before="0" w:after="283"/>
              <w:ind w:left="0" w:right="0" w:hanging="0"/>
              <w:jc w:val="center"/>
              <w:rPr/>
            </w:pPr>
            <w:r>
              <w:rPr/>
              <w:t> </w:t>
            </w:r>
          </w:p>
        </w:tc>
        <w:tc>
          <w:tcPr>
            <w:tcW w:w="113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fees totaled approximately $9.9 million, $10.7 million and $10.6 million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Hotel Franchise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fees associated with the franchise agreements are calculated as a specified percentage of the hotel's gross room revenue. Certain key terms of our franchise agreements for our hotels as of December 31, 2025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77"/>
        <w:gridCol w:w="60"/>
        <w:gridCol w:w="2498"/>
        <w:gridCol w:w="60"/>
        <w:gridCol w:w="179"/>
        <w:gridCol w:w="826"/>
        <w:gridCol w:w="185"/>
        <w:gridCol w:w="60"/>
        <w:gridCol w:w="195"/>
        <w:gridCol w:w="907"/>
        <w:gridCol w:w="185"/>
        <w:gridCol w:w="60"/>
        <w:gridCol w:w="114"/>
        <w:gridCol w:w="836"/>
        <w:gridCol w:w="63"/>
      </w:tblGrid>
      <w:tr>
        <w:trPr/>
        <w:tc>
          <w:tcPr>
            <w:tcW w:w="39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Franchise</w:t>
            </w:r>
          </w:p>
        </w:tc>
        <w:tc>
          <w:tcPr>
            <w:tcW w:w="60" w:type="dxa"/>
            <w:tcBorders/>
            <w:shd w:fill="FFFFFF" w:val="clear"/>
            <w:vAlign w:val="center"/>
          </w:tcPr>
          <w:p>
            <w:pPr>
              <w:pStyle w:val="TableContents"/>
              <w:bidi w:val="0"/>
              <w:spacing w:before="0" w:after="283"/>
              <w:ind w:left="0" w:right="0" w:hanging="0"/>
              <w:jc w:val="left"/>
              <w:rPr/>
            </w:pPr>
            <w:r>
              <w:rPr/>
              <w:t> </w:t>
            </w:r>
          </w:p>
        </w:tc>
        <w:tc>
          <w:tcPr>
            <w:tcW w:w="10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Franchise/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Marketing/</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w:t>
            </w:r>
          </w:p>
        </w:tc>
        <w:tc>
          <w:tcPr>
            <w:tcW w:w="60" w:type="dxa"/>
            <w:tcBorders/>
            <w:shd w:fill="FFFFFF" w:val="clear"/>
            <w:vAlign w:val="center"/>
          </w:tcPr>
          <w:p>
            <w:pPr>
              <w:pStyle w:val="TableContents"/>
              <w:bidi w:val="0"/>
              <w:spacing w:before="0" w:after="283"/>
              <w:ind w:left="0" w:right="0" w:hanging="0"/>
              <w:jc w:val="left"/>
              <w:rPr/>
            </w:pPr>
            <w:r>
              <w:rPr/>
              <w:t> </w:t>
            </w:r>
          </w:p>
        </w:tc>
        <w:tc>
          <w:tcPr>
            <w:tcW w:w="10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Royalty Fee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 Fee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Homewood Suites by Hilton Hartford-Farmington</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Promus Hotels,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2039</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Long Island Holtsville</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White Plains</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New Rochelle</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Garden Grove</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Homewood Suites by Hilton San Antonio River Walk</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Franchise Holding LLC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Washington DC</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2033</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Tysons Corner</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 Portland Downtown</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Inns Franchise LLC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2032</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Place Pittsburgh North Shore</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Hotels, LLC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 Exeter</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Inns Franchise LLC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Bellevue</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2033</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SpringHill Suites Savannah</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2033</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Silicon Valley I</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Silicon Valley II</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San Mateo</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Mountain View</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Place Cherry Creek</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Hotels, LLC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Addison</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San Diego Gaslamp</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Marina del Rey</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Franchise Holding LLC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Dedham</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Il Lugano</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Portsmouth</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Inns Franchise LLC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Summerville</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Embassy Suites Springfield</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Franchise Holding LLC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Summerville</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Dallas</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Austin Northwest/The Domain Area</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2036</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TownePlace Suites Austin Northwest/The Domain Area</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Marriott International, Inc.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Home2 Suites Woodland Hills</w:t>
            </w:r>
          </w:p>
        </w:tc>
        <w:tc>
          <w:tcPr>
            <w:tcW w:w="60" w:type="dxa"/>
            <w:tcBorders/>
            <w:shd w:fill="CCEEFF" w:val="clear"/>
            <w:vAlign w:val="center"/>
          </w:tcPr>
          <w:p>
            <w:pPr>
              <w:pStyle w:val="TableContents"/>
              <w:bidi w:val="0"/>
              <w:spacing w:before="0" w:after="283"/>
              <w:ind w:left="0" w:right="0" w:hanging="0"/>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Franchise Holding LLC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2040</w:t>
            </w:r>
          </w:p>
        </w:tc>
        <w:tc>
          <w:tcPr>
            <w:tcW w:w="63"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Destin Miramar Beach</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Franchise Holding LLC</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2042</w:t>
            </w:r>
          </w:p>
        </w:tc>
        <w:tc>
          <w:tcPr>
            <w:tcW w:w="63"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Home2 Suites Phoenix Downtown</w:t>
            </w:r>
          </w:p>
        </w:tc>
        <w:tc>
          <w:tcPr>
            <w:tcW w:w="60" w:type="dxa"/>
            <w:tcBorders/>
            <w:shd w:fill="CCEEFF" w:val="clear"/>
            <w:vAlign w:val="center"/>
          </w:tcPr>
          <w:p>
            <w:pPr>
              <w:pStyle w:val="TableContents"/>
              <w:bidi w:val="0"/>
              <w:spacing w:before="0" w:after="283"/>
              <w:jc w:val="left"/>
              <w:rPr/>
            </w:pPr>
            <w:r>
              <w:rPr/>
              <w:t> </w:t>
            </w:r>
          </w:p>
        </w:tc>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Franchise Holding LLC</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2044</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Franchise and marketing/program fees totaled approximately $23.6 million, $25.4 million and $24.9 million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the lessee under ground, property, air rights, garage and office lease agreements for certain of its properties. The Company's leases are classified as operating or finance leases. The Company recognizes a right of use ("ROU") asset and lease liability at the estimated present value of the minimum lease payments over the lease term. The leases typically provide multi-year renewal options to extend the term as lessee at the Company's option. Option periods are included in the calculation of the lease obligation liability only when options are reasonably certain to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calculating the Company's lease obligations under the various leases, the Company uses discount rates estimated to be equal to what the Company would have to pay to borrow on a collateralized basis over a similar term, for an amount equal to the lease payments, in a similar economic environment. Lease obligations are based on contractually required cash payments, while lease expense is recognized on a straight-line basis for its operating leases and as interest expense on the lease liability for its finance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Residence Inn San Diego Gaslamp hotel property is subject to a ground lease with an expiration of January 31, 2065 and we have an extension option of up to three additional terms of ten years each. Monthly payments are currently approximately $49 thousand per month and increase 10% every five years. The hotel is subject to supplemental rent payments annually calculated as 5% of gross revenues during the applicable lease year, minus 12 times the monthly base rent scheduled for the lease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Residence Inn New Rochelle hotel property is subject to an air rights lease and a garage lease, each of which expires on December 1, 2104. The lease agreements with the City of New Rochelle cover the space above the parking garage that is occupied by the hotel as well as 128 parking spaces in a parking garage that is attached to the hotel. The annual base rent for the garage lease is the hotel’s proportionate share of the city’s adopted budget for the operations, management and maintenance of the garage and established reserves to fund for the cost of capital repairs. Aggregate rent for 2025 under these leases amounted to approximately $31 thousand per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Hilton Garden Inn Marina del Rey hotel property is subject to a ground lease with an expiration of December 31, 2067. Minimum monthly payments are currently approximately $47 thousand per month and a percentage rent payment less the minimum rent is due in arrears equal to 5% to 25% of gross income based on the type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entered into a corporate office lease in September 2015. The lease is for a term of 11 years and includes a 12-month rent abatement period and certain tenant improvement allowances. The Company has a renewal option of up to two successive terms of five years each. On June 1, 2023, the Company executed an amendment to the corporate office lease to vacate and surrender possession of 7,374 rentable square feet in exchange for an early termination payment of $0.1 million. The partial termination of this lease required the Company to apply Accounting Standards Codification ("ASC") 842 and remeasure the ROU asset and lease liability and recognize those adjustments in the consolidated statements of operations. The Company shares the space with related parties and is reimbursed for the pro-rata share of rentable space occupied by the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entered into a new 10-year corporate office lease in May 2024, which was subsequently amended in September 2024, that will commence when the Company takes possession of the space for leasehold improvements, on or before September 1, 2026. Annual base rent will range from $0.6 million to $0.7 million over the term of the lease. The new office space will be shared with a related party and the Company will be reimbursed for the pro-rata share of rentable space that will be occupied by the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Finance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Home2 Phoenix hotel property is subject to a Government Property Lease Excise Tax ("GPLET") agreement with the City of Phoenix. As part of the agreement, title of the hotel property was conveyed to the City of Phoenix and leased back to the Company for a term of 8 years with fixed annual rent payments ranging from $26 thousand to $81 thousand. Title of the hotel property will be re-conveyed to the Company at no cost at the expiration of the 8-year lease term. The GPLET agreement can be terminated by the Company at any time for a fee of $0.1 million and title of the hotel property would be re-conveyed back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Home2 Phoenix ROU assets are recorded as finance lease assets within Investment in hotel properties, net and the lease liability is recorded within Lease liability in the Company’s consolidated balance sheet. Expenses related to the finance lease are included in depreciation and amortization and interest expense, in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includes information regarding the Company's total minimum lease payments for which it is the lessee, as of December 31, 2025, for each of the next five calendar years and thereafter (in thousands):</w:t>
      </w:r>
    </w:p>
    <w:p>
      <w:pPr>
        <w:pStyle w:val="TextBody"/>
        <w:bidi w:val="0"/>
        <w:spacing w:before="0" w:after="0"/>
        <w:ind w:left="0" w:right="0" w:hanging="0"/>
        <w:jc w:val="left"/>
        <w:rPr>
          <w:caps w:val="false"/>
          <w:smallCaps w:val="false"/>
        </w:rPr>
      </w:pPr>
      <w:r>
        <w:rPr>
          <w:caps w:val="false"/>
          <w:smallCaps w:val="false"/>
        </w:rPr>
        <w:t> </w:t>
      </w:r>
    </w:p>
    <w:tbl>
      <w:tblPr>
        <w:tblW w:w="3345" w:type="dxa"/>
        <w:jc w:val="left"/>
        <w:tblInd w:w="0" w:type="dxa"/>
        <w:tblLayout w:type="fixed"/>
        <w:tblCellMar>
          <w:top w:w="0" w:type="dxa"/>
          <w:left w:w="0" w:type="dxa"/>
          <w:bottom w:w="0" w:type="dxa"/>
          <w:right w:w="0" w:type="dxa"/>
        </w:tblCellMar>
      </w:tblPr>
      <w:tblGrid>
        <w:gridCol w:w="2510"/>
        <w:gridCol w:w="60"/>
        <w:gridCol w:w="125"/>
        <w:gridCol w:w="590"/>
        <w:gridCol w:w="60"/>
      </w:tblGrid>
      <w:tr>
        <w:trPr/>
        <w:tc>
          <w:tcPr>
            <w:tcW w:w="251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Future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1,768</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66,929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Human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February 27, 2026, we had 16 employees. All persons employed in the day-to-day operations of our hotels are employees of the management companies engaged by our TRS Lessees to operate such hotels. None of our employees are represented by a collective bargaining agreement, however, certain hotel level employees of IHM are represented under a collective bargaining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key human capital management objectives are to attract, recruit, hire, develop and promote a deep and diverse set of talent that translates into a strong and successful workforce. To support these objectives, our human resource programs are designed to develop talent to prepare employees for critical roles and leadership positions for the future; reward and support employees through competitive pay and benefit programs; enhance our culture through efforts to foster, promote and preserve a culture of inclusion and belonging; and invest in technology, tools, and resources to enable employees at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committed to creating value while being responsible stewards at our hotels, in the community, and in our industry. While the COVID-19 pandemic presented tumultuous challenges, the new reality we experienced reinforced our desire to formalize our historical efforts relating to Environmental, Social, and Governance (ESG) issues into a more structured corporate responsibility strategy. We published our first Corporate Responsibility Report in March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February 2022, the Company established a standalone Environmental Social and Governance Committee made up of members of the Board of Trustees of the Company (the "Board of Trustees") and two of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February 2026, we published our annual Corporate Responsibility Report which includes reporting with standards from the Global Reporting Initiative (GRI), Sustainability Accounting Standards Board (SASB) and Task Force on Climate-related Financial Disclosures (TCFD). The report is available on our website at www.chathamlodgingtrust.com.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Environmental and Sustainability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initiatives are intended to improve energy efficiency at our hotels and enhance the value and profitability of our hotels. Among these energy efficiency programs are the installation of energy efficient lighting, guestroom “smart” thermostats that adjust room conditions based upon occupancy status, low-flow toilet systems, and recycling laundry water. We are committed to seeking new environmental initiatives to implement across our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Corporate Citizenship and Community Impact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prioritizes the need to invest in the communities in which our properties are located. In addition, we have made a significant effort to give back to the local charitable organizations in the West Palm Beach area, where our corporate office is located. In combination with IHM, we have engaged in events for charitable organizations in a number of ways including participating in race events for charity, collecting food and feeding those in need, and reading and providing gifts to underprivileged children during the holidays. Our employees' volunteer efforts have directly added value to our local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Internet website is www.chathamlodgingtrust.com. We make available free of charge through our website our annual reports on Form 10-K, quarterly reports on Form 10-Q, current reports on Form 8-K, Section 16 reports on Forms 3, 4 and 5 and amendments to those reports filed or furnished pursuant to Section 13(a) or 15(d) of the Exchange Act as soon as reasonably practicable after such documents are electronically filed with, or furnished to, the SEC. All reports that we have filed with the SEC, including this annual report on Form 10-K, our quarterly reports on Form 10-Q and our current reports on Form 8-K, can also be obtained free of charge from the SEC's website www.sec.gov. In addition, our website includes corporate governance information, including the charters for committees of our Board of Trustees, our Corporate Governance Guidelines, Conflict of Interest Policy and our Code of Business Conduct. This information is available in print to any shareholder who requests it by writing to Investor Relations, Chatham Lodging Trust, 222 Lakeview Avenue, Suite 200, West Palm Beach, FL 33401. The information on our website is not, and shall not be deemed to be, a part of this report or incorporated into any other filings that we make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5" w:name="risk"/>
      <w:bookmarkEnd w:id="5"/>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Our business faces many risks. The risks described below may not be the only risks we face. Additional risks that we do not yet know of or that we currently believe are immaterial may also impair our business operations. If any of the events or circumstances described in the following risk factors actually occurs, our business, financial condition or results of operations could suffer, our ability to make cash distributions to our shareholders could be impaired and the trading price of our common shares could decline. You should know that many of the risks described may apply to more than just the subsection in which we grouped them for the purpose of this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COVID-19 pandemic had, and a future pandemic could have, adverse effects on our financial condition, results of operations, cash flows and performance.</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investment policies are subject to revision from time to time at our Board of Trustees' discretion.</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depend on the efforts and expertise of our key executive officers whose continued service is not guaranteed.</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future growth depends on obtaining new financing.</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must rely on third-party management companies to operate our hotels in order to qualify as a REIT.</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management of the hotels in our portfolio is currently concentrated in one hotel management company.</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franchisors could cause us to expend additional funds on upgraded operating standards.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franchisors may cancel or fail to renew our existing franchise licenses.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our financial performance, capital expenditure requirements and excess cash flow could adversely affect our ability to make distributions.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Future debt service obligations could adversely affect our overall operating results or cash flow and may require us to liquidate our properties.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we are unable to repay our debt obligations in the future, we may be forced to refinance debt or dispose of or encumber our assets, which could adversely affect distributions to shareholders.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on our debt may limit our cash available to fund growth strategies and shareholder distributions.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hedge effectively against interest rate changes may adversely affect us.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Joint venture investments that we may make could be adversely affected by our lack of decision-making authority, our reliance on joint venture partners' financial condition and disputes between us and our joint-venture partners.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from time to time make distributions to our shareholders in the form of our common shares, which could result in shareholders incurring tax liability without receiving sufficient cash to pay such tax.</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conflict of interest policy may not be successful in eliminating the influence of future conflicts of interest that may arise between us and our trustees, officers and employees.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 may be conflicts of interest between us and affiliates owned by our Chief Executive Officer.</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 development is subject to timing, cost, and other risks.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Inflation and price volatility could impact our business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the Lodging Industry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lodging industry has experienced significant declines in the past and failure of the lodging industry to exhibit improvement may adversely affect our ability to execute our business strategy.</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make distributions to our shareholders may be affected by operating risks in the lodging industry.</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for acquisitions may reduce the number of properties we can acquire.</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for guests may lower our hotels' revenues and profitability.         </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cyclical nature of the lodging industry may adversely affect the return on our investments.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our concentration therein, a downturn in the lodging industry would adversely affect our business.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ongoing need for capital expenditures at our hotel properties may adversely affect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increasing use by consumers of Internet travel intermediaries and alternative lodging market places may adversely affect our profitability.</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need for business-related travel may be adversely affected by the use of business-related technology.</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Risks related to information technology.</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ind w:left="0" w:right="0" w:hanging="0"/>
              <w:jc w:val="left"/>
              <w:rPr/>
            </w:pPr>
            <w:r>
              <w:rPr/>
              <w:t>•</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Risks related to artificial intelligence.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Future terrorist attacks, rumors or threats of war, or changes in terror alert levels could adversely affect travel and hotel demand.</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assume liabilities in connection with the acquisition of hotel properties, including unknown liabilities.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Uninsured and underinsured losses could adversely affect our operating results.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face risks associated with natural disasters and the direct and indirect physical effects of climate change, which may include more frequent and more severe storms, hurricanes, flooding, droughts and wildfires, any of which could have a material adverse effect on our hotel properties, operations, cash flows and financing options.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Noncompliance with environmental laws and governmental regulations could adversely affect our business.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Compliance with the ADA and other changes in governmental rules and regulations could substantially increase our cost of doing business.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outbreak of widespread contagious disease, such as COVID-19, could reduce travel.</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pPr>
            <w:r>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delay in approving a budget and/or continuing appropriation legislation to fund the operations of the federal government, failure to raise the borrowing limit for the federal government, and other legislative changes and governmental disruptions could reduce travel.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Risks Related to the Real Estate Industry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Illiquidity of real estate investments could significantly impede our ability to respond to adverse changes in the performance of our hotel properties.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Increases in our property taxes would adversely affect our ability to make distributions to our shareholders.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hotel properties may contain or develop harmful mold, which could lead to liabilities and remediation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Organization and Structure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rights and the rights of our shareholders to take action against our trustees and officers are limited.</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 of Maryland law may limit the ability of a third party to acquire control of our Company.</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 of our declaration of trust may limit the ability of a third party to acquire control of our Company.</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make required distributions would subject us to tax.</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maintain our qualification as a REIT would subject us to federal income tax and potentially other taxes.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TRS Lessee structure subjects us to the risk of increased hotel operating expenses.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TRS structure increases our overall tax liability.</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transactions with our TRS will cause us to be subject to a 100% penalty tax on certain income or deductions if those transactions are not conducted on arm's-length terms.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our leases with our TRS Lessees are not respected as true leases for federal income tax purposes, we would fail to qualify as a REIT.</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payable by REITs do not qualify for the reduced tax rates available for some dividends.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our hotel managers do not qualify as "eligible independent contractors," we would fail to qualify as a REIT.</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ownership limitations may restrict or prevent you from engaging in certain transfers of our common shares.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of our Board of Trustees to revoke our REIT qualification without shareholder approval may cause adverse consequences to our shareholders.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of our Board of Trustees to change our major policies may not be in our shareholders’ interest.</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maintain an effective system of internal controls, we may not be able to accurately determine our financial results or prevent fraud. As a result, our investors could lose confidence in our reported financial information, which could harm our business and the value of our shares.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Complying with REIT requirements may cause us to forego otherwise attractive opportunities or liquidate otherwise attractive investments.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subject to adverse legislative or regulatory tax changes.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unable to generate sufficient cash flows from our operations to make distributions to our shareholders at any time in the future.</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revolving credit facility and term loan may limit our ability to pay dividends on common shares.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market price of our equity securities may vary substantially.</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shares available for future sale could adversely affect the market price of our common shares.</w:t>
            </w:r>
          </w:p>
        </w:tc>
      </w:tr>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Future offerings of debt or equity securities or incurrence of debt may adversely affect the market price of our common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COVID-19 pandemic had, and a future pandemic could have, adverse effects on our financial condition, results of operations, cash flows and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COVID-19 pandemic had a severe and negative impact on both the U.S. economy and the global economy. Financial markets experienced significant volatility as a result of the COVID-19 pandemic. Globally and throughout the United States, federal and local governments instituted quarantines, restrictions on travel, school closings, "shelter in place" orders, and restrictions on types of businesses that could continue operations. These restrictions had a severe impact on the U.S. lodging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 outbreak of another disease or similar public health threat, or fear of such an event, that affects travel demand, travel behavior or travel restrictions could have a material adverse impact on our business, financial condition and operating results. Outbreaks of other diseases could also result in increased government restrictions and regulation, such as those actions described above or otherwise, which could adversely affect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investment policies are subject to revision from time to time at our Board of Trustees' discretion, which could diminish shareholder returns below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investment policies may be amended or revised from time to time at the discretion of our Board of Trustees, without a vote of our shareholders. Such discretion could result in investments that may not yield returns consistent with investors'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depend on the efforts and expertise of our key executive officers whose continued service is not guaranteed.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depend on the efforts and expertise of our chief executive officer, as well as our other senior executives, to execute our business strategy. The loss of their services, and our inability to find suitable replacements,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future growth depends on obtaining new financing and if we cannot secure financing in the future, our growth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success of our growth strategy depends on access to capital through use of excess cash flow, borrowings or subsequent issuances of common shares or other securities. Acquisitions of new hotel properties will require significant additional capital and existing hotels (including those owned through joint ventures) require periodic capital improvement initiatives to remain competitive. We may not be able to fund acquisitions or capital improvements solely from cash provided from our operating activities because we must distribute at least 90% of our REIT taxable income (determined without regard to the deduction for dividends paid and excluding any net capital gains) each year to satisfy the requirements for qualification as a REIT for federal income tax purposes. As a result, our ability to fund capital expenditures for acquisitions through retained earnings is very limited. Our ability to grow through acquisitions of hotels will be limited if we cannot obtain satisfactory debt or equity financing, which will depend on capital markets conditions. We cannot assure you that we will be able to obtain additional equity or debt financing or that we will be able to obtain such financing on favorable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must rely on third party management companies to operate our hotels in order to qualify as a REIT under the Code and, as a result, we have less control than if we were operating the hotels 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maintain our qualification as a REIT under the Code, third parties must operate our hotels. We lease each of our hotels to our TRS Lessees. Our TRS Lessees, in turn, have entered into management agreements with third party management companies to operate our hotels. While we expect to have some input on operating decisions for those hotels leased by our TRS Lessees and operated under management agreements, we have less control than if we were managing the hotels ourselves. Even if we believe that our hotels are not being operated efficiently, we may not be able to require an operator to change the way it operates our hotels. If this is the case, we may decide to terminate the management agreement and potentially incur costs associated with the termination. Additionally, Mr. Fisher, our Chairman and Chief Executive Officer, controls IHM, a hotel management company that, as of December 31, 2025, managed all of our hotels and may manage additional hotels that we acquire in the future. See "There may be conflicts of interest between us and affiliates owned by our Chief Executive Officer"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management of the hotels in our portfolio is currently concentrated in one hotel management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2025, IHM managed all 33 of our hotels. As a result, a substantial portion of our revenue is generated by hotels managed by IHM. This significant concentration of operational risk in one hotel management company makes us more vulnerable economically than if our hotel management was more diversified among several hotel management companies. Any adverse developments in IHM's business and affairs, financial strength or ability to operate our hotels efficiently and effectively could have a material adverse effect on our business, financial condition, or results of operations and our ability to make distributions to our shareholders. We cannot provide assurance that IHM will satisfy its obligations to us or effectively and efficiently operate out hotel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franchisors could cause us to expend additional funds on upgraded operating standards, which may reduce cash available for distribution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hotels operate under franchise agreements, and we may become subject to the risks that are found in concentrating our hotel properties in one or several franchise brands. Our hotel operators must comply with operating standards and terms and conditions imposed by the franchisors of the hotel brands under which our hotels operate. Pursuant to certain of the franchise agreements, certain upgrades are required approximately every seven years, and the franchisors may also impose upgraded or new brand standards, such as substantially upgrading the bedding, enhancing the complimentary breakfast or increasing the value of guest awards under its ‘frequent guest' program, which can add substantial expense for the hotel. The franchisors also may require us to make certain capital improvements to maintain the hotel in accordance with system standards, the cost of which can be substantial and may reduce cash available for distribution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franchisors may cancel or fail to renew our existing franchise licenses, which could adversely affect our operating results and our ability to make distributions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franchisors periodically inspect our hotels to confirm adherence to the franchisors' operating standards. The failure of a hotel to maintain standards could result in the loss or cancellation of a franchise license. We rely on our hotel managers to conform to operational standards. In addition, when the term of a franchise license expires, the franchisor has no obligation to issue a new franchise license. The loss of a franchise license could have a material adverse effect on the operations or the underlying value of the affected hotel because of the loss of associated name recognition, marketing support and centralized reservation systems provided by the franchisor. The loss of a franchise license or adverse developments with respect to a franchise brand under which our hotels operate could also have a material adverse effect on our financial condition, results of operations and cash available for distribution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Fluctuations in our financial performance, capital expenditure requirements and excess cash flow could adversely affect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REIT, we are required to distribute at least 90% of our REIT taxable income each year to our shareholders (determined without regard to the deduction for dividends paid and excluding any net capital gains). In the event of downturns in our operating results and financial performance or unanticipated capital improvements to our hotels (including capital improvements that may be required by franchisors or joint venture partners), we may be unable to declare or pay distributions to our shareholders, or maintain our then-current dividend rate. The timing and amount of distributions are in the sole discretion of our Board of Trustees, which considers, among other factors, our financial performance, debt service obligations and applicable debt covenants (if any), and capital expenditure requirements. We cannot assure you we will generate sufficient cash in order to fund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Among the factors which could adversely affect our results of operations and distributions to shareholders are reductions in hotel revenues; increases in operating expenses at the hotels leased to our TRS Lessees; increased debt service requirements, including those resulting from higher interest rates on our indebtedness; cash demands from joint ventures and capital expenditures at our hotels, including capital expenditures required by the franchisors of our hotels, and unknown liabilities, such as environmental claims. Hotel revenue can decrease for a number of reasons, including increased competition from new hotels and decreased demand for hotel rooms. These factors can reduce both occupancy and room rates at hotels and could directly affect us negatively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reducing the hotel revenue that we recognize with respect to hotels leased to our TRS Lessees;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correspondingly reducing the profits (or increasing the loss) of hotels leased to our TRS Lessees. We may be unable to reduce many of our expenses in tandem with revenue declines, (or we may choose not to reduce them for competitive reasons), and certain expenses may increase while our revenue declines.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Future debt service obligations could adversely affect our overall operating results or cash flow and may require us to liquidate our properties, which could adversely affect our ability to make distributions to our shareholders and our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plan to maintain a prudent capital structure and intend to maintain our leverage over the long term at a ratio of net debt to investment in hotels (at cost) (defined as our initial acquisition price plus the gross amount of any subsequent capital investment and excluding any impairment charges) at a level that will be similar to the levels at which we have operated in the past. A subsequent decrease in hotel property values will not necessarily cause us to repay debt to comply with this limitation. We may be able to incur substantial additional debt, including secured debt, in the future. Incurring additional debt could subject us to many risks, including the risks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 will be insufficient to make required payments of expenses, principal and interest;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leverage may increase our vulnerability to adverse economic and industry conditions;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dedicate a substantial portion of our cash flow from operations to payments on our debt, thereby reducing cash available for distribution to our shareholders, funds available for operations and capital expenditures, future business opportunities or other purposes;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of any refinancing will not be as favorable as the terms of the debt being refinanced;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of our debt may limit our ability to make distributions to our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violate covenants in our debt agreements, we could be required to repay all or a portion of our indebtedness before maturity at a time when we might be unable to arrange financing for such repayment on attractive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are unable to repay our debt obligations in the future, we may be forced to refinance debt or dispose of or encumber our assets, which could adversely affect distributions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do not have sufficient funds to repay our outstanding debt at maturity or before maturity in the event we breach our debt agreements and our lenders exercise their right to accelerate repayment, we may be required to refinance the debt through additional debt or additional equity financings. Covenants applicable to our existing and future debt could impair our planned investment strategy and, if violated, result in a default. If we are unable to refinance our debt on acceptable terms, we may be forced to dispose of hotel properties on disadvantageous terms, potentially resulting in losses. We have placed mortgages on certain of our hotel properties, have assumed mortgages on other hotels we acquired and may place additional mortgages on certain of our hotels to secure other debt. To the extent we cannot meet any future debt service obligations, we will risk losing some or all of our hotel properties that are pledged to secure our obligations to foreclosure.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on our debt may limit our cash available to fund our growth strategies and shareholder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Higher interest rates could increase debt service requirements on debt under our credit facility and any floating rate debt that we incur in the future, as well as any amounts we seek to refinance, and could reduce the amounts available for distribution to our shareholders, as well as reduce funds available for our operations, future business opportunities, or other purposes. Interest expense on our term loan and revolving credit facility is based on floating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Failure to hedge effectively against interest rate changes may adversely affect our results of operations and our ability to make shareholder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obtain in the future one or more forms of interest rate protection, such as swap agreements, interest rate cap contracts or similar agreements, to hedge against the possible negative effects of interest rate fluctuations. However, such hedging implies costs and we cannot assure you that any hedging will adequately relieve the adverse effects of interest rate increases or that counterparties under these agreements will honor their obligations thereunder. Furthermore, any such hedging agreements would subject us to the risk of incurring significant non-cash losses on our hedges due to declines in interest rates if our hedges were not considered effective under applicable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Joint venture investments that we may make could be adversely affected by our lack of decision-making authority, our reliance on joint venture partners' financial condition and disputes between us and our joint-venture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were co-investors in joint ventures in the past, and we may invest in additional joint ventures in the future. We may not be in a position to exercise decision-making authority regarding the properties owned through joint ventures that we may invest in. Our joint-venture partners may be able to make certain important decisions about our joint venture and the joint-venture properties without our approval or consent. Investments in joint ventures may, under certain circumstances, involve risks not present when a third party is not involved, including reliance on our joint-venture partners and the possibility that joint-venture partners might become bankrupt or fail to fund their share of required capital contributions, thus exposing us to liabilities in excess of our share of the investment. Joint-venture partners may have business interests or goals that are inconsistent with our business interests or goals, and may be in a position to take actions contrary to our policies or objectives. Such investments may also have the potential risk of impasses on decisions, such as a sale, because neither we nor the partner would have full control over the partnership or joint venture. Any disputes that may arise between us and our joint-venture partners may result in litigation or arbitration that would increase our expenses and prevent our officers and/or trustees from focusing their time and effort on our business. Consequently, actions by, or disputes with, our joint-venture partners might result in subjecting properties owned by the partnership or joint venture to additional risk. In addition, we may in certain circumstances be liable for the actions of our third-party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from time to time make distributions to our shareholders in the form of our common shares, which could result in shareholders incurring tax liability without receiving sufficient cash to pay such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have no current intention to do so, we may in the future distribute taxable dividends that are payable in cash or common shares. Taxable shareholders receiving such dividends will be required to include the full amount of the dividend as ordinary income to the extent of our current and accumulated earnings and profits for federal income tax purposes. As a result, shareholders may be required to pay income taxes with respect to such dividends in excess of the cash dividends received. If a U.S. shareholder sells the common shares that it receives as a dividend in order to pay this tax, the sales proceeds may be less than the amount included in income with respect to the dividend, depending on the market price of our shares at the time of the sale. Furthermore, with respect to certain non-U.S. shareholders, we may be required to withhold federal income tax with respect to such dividends, including in respect of all or a portion of such dividend that is payable in common shares. In addition, if a significant number of our shareholders sell common shares in order to pay taxes owed on dividends, it may put downward pressure on the trading price of our common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conflict of interest policy may not be successful in eliminating the influence of future conflicts of interest that may arise between us and our trustees, officers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adopted a policy that any transaction, agreement or relationship in which any of our trustees, officers or employees has a direct or indirect pecuniary interest must be approved by a majority of our disinterested trustees. Other than this policy, however, we have not adopted and may not adopt additional formal procedures for the review and approval of conflict of interest transactions generally. As such, our policies and procedures may not be successful in eliminating the influence of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There may be conflicts of interest between us and affiliates owned by our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Chief Executive Officer, Mr. Fisher, owned 100% of IHM, a hotel management company that, as of December 31, 2025, managed all of our hotels and may manage additional hotels that we acquire or own (wholly or through a joint venture) in the future. Because Mr. Fisher is our Chairman and Chief Executive Officer and controls IHM, conflicts of interest may arise between us and Mr. Fisher as to whether and on what terms new management contracts will be awarded to IHM, whether and on what terms management agreements will be renewed upon expiration of their terms, enforcement of the terms of the management agreements and whether hotels managed by IHM will be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Hotel development is subject to timing, cost, and other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Hotel development involves a number of risks, including the following:</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10"/>
        <w:gridCol w:w="27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possible environmental problems;</w:t>
            </w:r>
          </w:p>
        </w:tc>
      </w:tr>
    </w:tbl>
    <w:tbl>
      <w:tblPr>
        <w:tblW w:w="5695" w:type="dxa"/>
        <w:jc w:val="left"/>
        <w:tblInd w:w="0" w:type="dxa"/>
        <w:tblLayout w:type="fixed"/>
        <w:tblCellMar>
          <w:top w:w="0" w:type="dxa"/>
          <w:left w:w="0" w:type="dxa"/>
          <w:bottom w:w="0" w:type="dxa"/>
          <w:right w:w="0" w:type="dxa"/>
        </w:tblCellMar>
      </w:tblPr>
      <w:tblGrid>
        <w:gridCol w:w="60"/>
        <w:gridCol w:w="110"/>
        <w:gridCol w:w="55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delays or cost overruns that may increase project costs;</w:t>
            </w:r>
          </w:p>
        </w:tc>
      </w:tr>
    </w:tbl>
    <w:tbl>
      <w:tblPr>
        <w:tblW w:w="9370" w:type="dxa"/>
        <w:jc w:val="left"/>
        <w:tblInd w:w="0" w:type="dxa"/>
        <w:tblLayout w:type="fixed"/>
        <w:tblCellMar>
          <w:top w:w="0" w:type="dxa"/>
          <w:left w:w="0" w:type="dxa"/>
          <w:bottom w:w="0" w:type="dxa"/>
          <w:right w:w="0" w:type="dxa"/>
        </w:tblCellMar>
      </w:tblPr>
      <w:tblGrid>
        <w:gridCol w:w="60"/>
        <w:gridCol w:w="110"/>
        <w:gridCol w:w="92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receipt of and expense related to zoning, occupancy and other required governmental permits and authorizations;</w:t>
            </w:r>
          </w:p>
        </w:tc>
      </w:tr>
    </w:tbl>
    <w:tbl>
      <w:tblPr>
        <w:tblW w:w="6280" w:type="dxa"/>
        <w:jc w:val="left"/>
        <w:tblInd w:w="0" w:type="dxa"/>
        <w:tblLayout w:type="fixed"/>
        <w:tblCellMar>
          <w:top w:w="0" w:type="dxa"/>
          <w:left w:w="0" w:type="dxa"/>
          <w:bottom w:w="0" w:type="dxa"/>
          <w:right w:w="0" w:type="dxa"/>
        </w:tblCellMar>
      </w:tblPr>
      <w:tblGrid>
        <w:gridCol w:w="60"/>
        <w:gridCol w:w="110"/>
        <w:gridCol w:w="61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development costs incurred for projects that are not pursued to completion;</w:t>
            </w:r>
          </w:p>
        </w:tc>
      </w:tr>
    </w:tbl>
    <w:tbl>
      <w:tblPr>
        <w:tblW w:w="7885" w:type="dxa"/>
        <w:jc w:val="left"/>
        <w:tblInd w:w="0" w:type="dxa"/>
        <w:tblLayout w:type="fixed"/>
        <w:tblCellMar>
          <w:top w:w="0" w:type="dxa"/>
          <w:left w:w="0" w:type="dxa"/>
          <w:bottom w:w="0" w:type="dxa"/>
          <w:right w:w="0" w:type="dxa"/>
        </w:tblCellMar>
      </w:tblPr>
      <w:tblGrid>
        <w:gridCol w:w="60"/>
        <w:gridCol w:w="110"/>
        <w:gridCol w:w="77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acts of God such as earthquakes, hurricanes, floods or fires that could adversely affect a project;</w:t>
            </w:r>
          </w:p>
        </w:tc>
      </w:tr>
    </w:tbl>
    <w:tbl>
      <w:tblPr>
        <w:tblW w:w="2530" w:type="dxa"/>
        <w:jc w:val="left"/>
        <w:tblInd w:w="0" w:type="dxa"/>
        <w:tblLayout w:type="fixed"/>
        <w:tblCellMar>
          <w:top w:w="0" w:type="dxa"/>
          <w:left w:w="0" w:type="dxa"/>
          <w:bottom w:w="0" w:type="dxa"/>
          <w:right w:w="0" w:type="dxa"/>
        </w:tblCellMar>
      </w:tblPr>
      <w:tblGrid>
        <w:gridCol w:w="60"/>
        <w:gridCol w:w="110"/>
        <w:gridCol w:w="23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inability to raise capital; and</w:t>
            </w:r>
          </w:p>
        </w:tc>
      </w:tr>
    </w:tbl>
    <w:tbl>
      <w:tblPr>
        <w:tblW w:w="4945" w:type="dxa"/>
        <w:jc w:val="left"/>
        <w:tblInd w:w="0" w:type="dxa"/>
        <w:tblLayout w:type="fixed"/>
        <w:tblCellMar>
          <w:top w:w="0" w:type="dxa"/>
          <w:left w:w="0" w:type="dxa"/>
          <w:bottom w:w="0" w:type="dxa"/>
          <w:right w:w="0" w:type="dxa"/>
        </w:tblCellMar>
      </w:tblPr>
      <w:tblGrid>
        <w:gridCol w:w="60"/>
        <w:gridCol w:w="110"/>
        <w:gridCol w:w="4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governmental restrictions on the nature or size of a project.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cannot provide assurance that development projects will be completed on time or within budget. Our inability to complete a project on time or within budget could adversely affect our financial position, results of operations, and cash flows or the market price of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Inflation and price volatility in the global economy could negatively impact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Over the last several years, inflation in the United States and the rest of the world rose to levels not experienced in decades, and currency volatility and downgrades to the U.S. government’s credit rating, or concerns about its credit and deficit levels in general, could cause interest rates and borrowing costs to rise further. These increases, and even government interventions intended to mitigate such increases, could negatively impact our business by increasing our operating costs and our borrowing costs as well as decreasing the availability of capital. Although we have the ability to pass on these increased costs associated with providing services by adjusting room rates, the cost to operate and maintain our hotel properties could increase faster or at a rate greater than our ability to increase room rates, which could have a material adverse effect on our financial condition, results of operations and cash available for distribution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the Lodging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lodging industry has experienced significant declines in the past and failure of the lodging industry to exhibit improvement may adversely affect our ability to execute our 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performance of the lodging industry has historically been closely linked to the performance of the general economy and, specifically, growth in U.S. gross domestic product, or GDP. It is also sensitive to business and personal discretionary spending levels. Declines in corporate budgets and consumer demand due to adverse general economic conditions, risks affecting or reducing travel patterns, lower consumer confidence or adverse political conditions can lower the revenues and profitability of our future hotel properties and therefore the net operating profits of our TRS.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substantial part of our business strategy is based on the belief that the lodging markets in which we invest will experience improving economic fundamentals in the future. We cannot predict the extent to which lodging industry fundamentals will improve. In the event conditions in the industry do not improve, or deteriorate, our ability to execute our business strategy would be adversely affected, which could adversely affect our financial condition, results of operations, the market price of our common shares and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ability to make distributions to our shareholders may be affected by various operating risks common in the lodging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Hotel properties are subject to various operating risks common to the hotel industry, many of which are beyond our control,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from other hotel properties and alternative lodging market places in the markets in which we operate, some of which may have greater marketing and financial resources;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over-supply or over-building of hotel properties in the markets in which we operate, which could adversely affect occupancy rates and revenues;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dependence on business and commercial travelers and tourism;</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increases in energy costs and other expenses and factors affecting travel, which may affect travel patterns and reduce the number of business and commercial travelers and tourists;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increases in operating costs due to inflation and other factors that may not be offset by increased room rates;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necessity for periodic capital reinvestment to repair and upgrade hotel properties;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interest rates and in the availability, cost and terms of debt financing;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governmental laws and regulations, fiscal policies and zoning ordinances and the related costs of compliance with laws and regulations, fiscal policies and ordinances;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unforeseen events beyond our control, such as terrorist attacks, travel-related health concerns including pandemics and epidemics such as COVID-19, H1N1 influenza (swine flu), avian bird flu, SARS and Zika virus, political instability, regional hostilities, imposition of taxes or surcharges by regulatory authorities, travel related accidents and unusual weather patterns, including natural disasters such as hurricanes, tsunamis, earthquakes, wildfires and flooding;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disruptions to the operations of our hotels caused by organized labor activities, including strikes, work stoppages or slowdowns;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adverse effects of a downturn in the economy or in the hotel industry;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generally associated with the ownership of hotel properties and real estate, as we discuss in detail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factors could reduce the net operating profits of our TRS and the rental income we receive from our TRS Lessees, which in turn could adversely affect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Competition for acquisitions may reduce the number of properties we can acquire.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compete for hotel investment opportunities with competitors that may have a different tolerance for risk or have substantially greater financial resources than are available to us. This competition may generally limit the number of hotel properties that we are able to acquire and may also increase the bargaining power of hotel owners seeking to sell, making it more difficult for us to acquire hotel properties on attractive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Competition for guests may lower our hotels' revenues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upscale extended-stay and mid-price segments of the hotel business are highly competitive. Our hotels compete on the basis of location, room rates and quality, service levels, reputation, and reservation systems, among many other factors. Competitors may have substantially greater marketing and financial resources than our operators or us. New hotels create new competitors, in some cases without corresponding increases in demand for hotel rooms. The result in some cases may be lower revenue, which would result in lower cash available for distribution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cyclical nature of the lodging industry may cause the return on our investments to be substantially less than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lodging industry is cyclical in nature. Fluctuations in lodging demand and, therefore, operating performance, are caused largely by general economic and local market conditions, which subsequently affects levels of business and leisure travel. In addition to general economic conditions, new hotel room supply is an important factor that can affect the lodging industry's performance and overbuilding has the potential to further exacerbate the negative impact of an economic recession. Room rates and occupancy, and thus RevPAR, tend to increase when demand growth exceeds supply growth. A decline in lodging demand, or a continued growth in lodging supply, could result in returns that are substantially below expectations or result in losses, which could have a material adverse effect on our business, financial condition, results of operations and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Due to our concentration in hotel investments, a downturn in the lodging industry would adversely affect our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entire business is related to the hotel industry. Therefore, a downturn in the hotel industry, in general, will have a material adverse effect on our revenues, net operating profits and cash available for distribution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ongoing need for capital expenditures at our hotel properties may adversely affect our business, financial condition and results of operations and limit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Hotel properties have an ongoing need for renovations and other capital improvements, including replacements, from time to time, of furniture, fixtures and equipment. The franchisors of our hotels also require periodic capital improvements as a condition of keeping the franchise licenses. In addition, our lenders require us to set aside amounts for capital improvements to our hotel properties. These capital improvements may give rise to the following risks: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possible environmental problems;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cost overruns and delays including those caused by supply chain disruptions and tariffs;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possibility that revenues will be reduced temporarily while rooms or restaurants offered are out of service due to capital improvement projects;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possible shortage of available cash to fund capital improvements and the related possibility that financing for these capital improvements may not be available on affordable terms;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uncertainties as to market demand or a loss of market demand after capital improvements have begun;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disputes with franchisors/managers regarding compliance with relevant management/franchise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costs of all these capital improvements could adversely affect our business, financial condition, results of operations and cash available for distribution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increasing use by consumers of Internet travel intermediaries and alternative lodging market places may adversely affect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Some of our hotel rooms are booked through Internet travel intermediaries. As Internet bookings increase, these intermediaries may be able to obtain higher commissions, reduced room rates or other significant contract concessions from us and our management companies. Moreover, some of these Internet travel intermediaries are attempting to offer hotel rooms as a commodity, by increasing the importance of price and general indicators of quality (such as "three-star downtown hotel") at the expense of brand identification. These agencies hope that consumers will eventually develop brand loyalties to their reservations system rather than to the brands under which our properties are franchised. Additional sources of competition, including alternative lodging marketplaces, such as HomeAway and Airbnb, which operate websites that market available furnished, privately-owned residential properties, including homes and condominiums, that can be rented on a nightly, weekly or monthly basis, may, as they become more accepted, lead to a reduced demand for conventional hotel guest rooms and to an increased supply of lodging alternatives. Although most of the business for our hotels is expected to be derived from traditional channels, if the amount of bookings made through Internet intermediaries or the use of alternative lodging marketplaces increases significantly, room revenues may flatten or decrease and our profitability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need for business-related travel and, thus, demand for rooms in our hotels may be materially and adversely affected by the increased use of business-related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increased use of teleconference and video-conference technology by businesses could result in decreased business travel as companies increase the use of technologies that allow multiple parties from different locations to participate at meetings without traveling to a centralized meeting location, such as our hotels. To the extent that such technologies play an increased role in day-to-day business and the necessity for business-related travel decreases, demand for our hotel rooms may decrease and we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and our hotel managers rely on information technology in our operations, and any material failure, inadequacy, interruption or security failure of that technology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and our hotel manager rely on information technology networks and systems, including the Internet, to process, transmit and store electronic information, and to manage or support a variety of business processes, including financial transactions and records, personal identifying information, reservations, billing and operating data. We purchase some of our information technology from vendors, on whom our systems depend. We rely on commercially available systems, software, tools and monitoring to provide security for processing, transmission and storage of confidential customer information, such as individually identifiable information, including information relating to financial accounts. Although we have taken steps to protect the security of our information systems and the data maintained in those systems, it is possible that our safety and security measures will not be able to prevent the systems’ improper functioning or damage, or the improper access or disclosure of personally identifiable information such as in the event of cyber-attacks. Security breaches, including physical or electronic break-ins, computer viruses, attacks by hackers and similar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have a material adverse effect on our business, financial condition and results of operations and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hotel manager carries a cyber insurance policy to protect and offset a portion of potential costs that may be incurred from a security breach. Additionally, we currently have a cyber insurance policy to provide supplemental coverage above the coverage carried by our third-party manager. Despite various precautionary steps to protect our hotels from losses resulting from cyber-attacks, however, any occurrence of a cyber-attack could still result in losses at our properties, which could affect our results of operations. We are not aware of any cyber incidents that we believe to be material or that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more information regarding cybersecurity risk and our management of it, see Part I, Item 1C of this Annual Report on Form 10-K.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face challenges managing rapidly advancing artificial intelligence in our business which could adversely affect our competitive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development and evolution of artificial intelligence is occurring at a rapid pace. Artificial intelligence may present an opportunity to create meaningful efficiencies and improve our business performance, but it could present similar opportunities for our competitors, and the use of artificial intelligence by us or our hotel manager, franchisors or vendors may pose new and more severe cybersecurity challenges. The use of artificial intelligence by hotel guests may change the way they find and purchase lodging or other hotel services. If we or our hotel manager, franchisors or vendors are unable to apply artificial intelligence to our business successfully or our competitors gain competitive advantages over us through their application of artificial intelligence, our financial condition, results of operations, the market price of our common shares and our  ability to make distributions to our shareholders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Future terrorist attacks, rumors or threats of war, or changes in terror alert levels could adversely affect travel and hotel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Previous terrorist attacks, rumors or threats of war, and subsequent terrorist alerts have adversely affected the U.S. travel and hospitality industries, often disproportionately to the effect on the overall economy. The impact that terrorist attacks in the U.S. or elsewhere could have on domestic and international travel and our business in particular cannot be determined but any such attacks, rumors, or the threat of such attacks could have a material adverse effect on our business, financial condition and results of operations and our ability to finance our business, to insure our properties and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assume liabilities in connection with the acquisition of hotel properties, including unknown liabilities, which, if significant,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assume existing liabilities in connection with the acquisition of hotel properties, some of which may be unknown or unquantifiable. Unknown liabilities might include liabilities for cleanup or remediation of undisclosed environmental conditions, claims of hotel guests, vendors or other persons dealing with the seller of a particular hotel property, tax liabilities, employment-related issues and accrued but unpaid liabilities whether incurred in the ordinary course of business or otherwise. If the magnitude of such unknown liabilities is high, they could adversely affect our business, financial condition, results of operations and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Uninsured and underinsured losses could adversely affect our operating results and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maintain comprehensive insurance on each of our hotel properties, including liability, terrorism, fire and extended coverage, of the type and amount customarily obtained for or by hotel property owners. There can be no assurance that such coverage will continue to be available at reasonable rates. Various types of catastrophic losses, like earthquakes and floods and losses from foreign terrorist activities such as those on September 11, 2001 or losses from domestic terrorist activities such as the Oklahoma City bombing, may not be insurable or may not be insurable on reasonable economic terms. Lenders may require such insurance and failure to obtain such insurance could constitute a default under loan agreements. Depending on our access to capital, liquidity and the value of the properties securing the affected loan in relation to the balance of the loan, a default could have a material adverse effect on our results of operations and ability to obtain future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event of a substantial loss, insurance coverage may not be sufficient to cover the full current market value or replacement cost of the lost investment. Should an uninsured loss or a loss in excess of insured limits occur, we could lose all or a portion of the capital we invested in a hotel property, as well as the anticipated future revenue from that particular hotel. In that event, we might nevertheless remain obligated for any mortgage debt or other financial obligations related to the property. Inflation, changes in building codes and ordinances, environmental considerations and other factors might also keep us from using insurance proceeds to replace or renovate a hotel after it has been damaged or destroyed. Under those circumstances, the insurance proceeds we receive might be inadequate to restore our economic position on the damaged or destroyed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face risks associated with natural disasters and the direct and indirect physical effects of climate change, which may include more frequent and more severe storms, hurricanes, flooding, droughts and wildfires, any of which could have a material adverse effect on our hotel properties, operations, cash flows and financing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the risks associated with the direct and indirect physical effects of climate change, which can include more frequent and more severe storms, hurricanes, flooding, droughts and wildfires, any of which could have a material adverse effect on our hotels, operating results and cash flows. To the extent climate change causes changes in weather patterns, our markets, particularly our coastal markets, could experience increases in storm frequency and intensity and rising sea levels causing damage to our hotels. As a result, we could become subject to significant losses and repair costs that may not be fully covered by insurance. Our markets in more remote locations may experience prolonged variations in temperature or precipitation that may limit access to the water needed to operate our hotels or significantly increase energy costs, which may subject those hotels to additional regulatory burdens, such as limitations on water usage or stricter energy efficiency standards. Climate change also may affect our business by increasing the cost of (or even making unavailable) property insurance on terms we find acceptable in areas most vulnerable to such events, increasing operating costs at our hotels, such as the cost of water or energy, and requiring us to expend funds as we seek to mitigate, repair and protect our hotels against such risks. A tightening of credit markets for, or a reduction in the availability of capital to, borrowers whose assets are in areas that are particularly adversely affected by the effects of climate change may reduce our ability to obtain financing on favorable terms, or at all, thereby increasing financing costs and/or requiring us to accept financing with increased restrictions and/or significantly higher interest rates, which could have a material adverse effect on our financial condition, results of operations, the market price of our common shares and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operational risks associated with complying with increased environmental-related regulations, aligning with investor requirements concerning environmental issues and meeting shifting consumer preferences with regard to the environment. In an effort to mitigate the impact of climate change, our hotels could become subject to increased governmental regulations mandating energy efficiency standards, the usage of sustainable energy sources and updated equipment specifications, which may require additional capital investments or increased operating costs. Climate change may also affect our business by causing a shift in consumer preferences for sustainable travel. Our hotels may be subject to additional costs to manage consumer expectations for sustainable buildings and hotel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can be no assurance that climate change will not have a material adverse effect on our hotels, operating results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Noncompliance with environmental laws and governmental regulations could adversely affect our operating results and our ability to make distributions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various federal, state and local laws, ordinances and regulations, an owner of real property may be liable for the costs of removal or remediation of certain hazardous or toxic substances on or in such property. Such laws often impose such liability without regard to whether the owner knew of or was responsible for, the presence of such hazardous or toxic substances. The cost of any required remediation and the owner's liability therefore as to any property are generally not limited under such laws and could exceed the value of the property and/or the aggregate assets of the owner. The presence of such substances, or the failure to properly remediate contamination from such substances, may adversely affect our ability to sell the real estate or to borrow funds using such property as collateral, which could have an adverse effect on our return from such investment. Moreover, the presence of such substance or the failure to properly mediate such substances could adversely affect our operating results and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Furthermore, various court decisions have established that third parties may recover damages for injury caused by release of hazardous substances and for property contamination. For instance, a person exposed to asbestos while working at or staying in a hotel may seek to recover damages if he or she suffers injury from the asbestos. Lastly, some of these environmental issues restrict the use of a property or place conditions on various activities. One example is laws that require a business using chemicals to manage them carefully and to notify local officials if regulated spills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it is our policy to require an acceptable Phase I environmental site assessment for all real property in which we invest prior to our investment, such surveys are limited in scope. As a result, there can be no assurance that a Phase I environmental site assessment will uncover any or all hazardous or toxic substances on a property prior to our investment in that property. We cannot assure you:</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that there are no existing liabilities related to our properties of which we are not aware;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that future laws, ordinances or regulations will not impose material environmental liability; or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that the current environmental condition of a hotel will not be affected by the condition of properties in the vicinity of the hotel (such as the presence of leaking underground storage tanks) or by third parties unrelated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Compliance with the ADA and other changes in governmental rules and regulations could substantially increase our cost of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hotel properties are subject to the ADA. Under the ADA, all places of public accommodation are required to meet certain federal requirements related to access and use by disabled persons. Although we intend to continue to acquire assets that are substantially in compliance with the ADA, we may incur additional costs of complying with the ADA at the time of acquisition and from time-to-time in the future to stay in compliance with any changes in the ADA. A number of additional federal, state and local laws exist that also may require modifications to our investments, or restrict certain further renovations thereof, with respect to access thereto by disabled persons. Additional legislation may impose further burdens or restrictions on owners with respect to access by disabled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are required to make substantial modifications to our hotel properties, whether to comply with the ADA or other changes in governmental rules and regulations, our financial condition, results of operations, the market price of our common shares and our ability to make distributions to our shareholders could be adversely affected. The obligation to make readily achievable accommodations is an ongoing one, and we will continue to assess our properties and to make alterations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outbreak of widespread contagious disease, such as COVID-19, could reduce travel and adversely affect hotel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widespread outbreak of infectious or contagious disease, such as COVID-19, H1N1 influenza (swine flu), avian bird flu, SARS and Zika virus, has reduced travel into and from the affected areas, including travel from the affected areas to the U.S. Further outbreaks, especially in the U.S., could reduce travel and adversely affect the U.S. hotel industry generally and our business in particular.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delay in approving a budget and/or continuing appropriation legislation to fund the operations of the federal government, failure to raise the borrowing limit for the federal government, and other legislative changes and governmental disruptions could affect travel directly and indirectly and may thereby negatively impact our revenues and cash available for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delay in approving a budget and continuing appropriation legislation to fund the federal government's operations caused many federal agencies to cease or curtail some activities during the fourth quarter of 2013 and for an even longer period of time beginning in the fourth quarter of 2018 and the third quarter of 2025. There can be no assurance that similar action or inaction by federal or state government agencies, or other efforts to reduce government expenditures or growth, will not occur again in future periods, resulting in difficulties and discouraging travel or meetings and conferences. The reduction in income from both businesses and federal government employees and the possibility of another federal government impasse may adversely affect consumer confidence or may discourage both business and leisure travel, resulting in the deferral or cancellation of travel and a negative effect on our group and transient revenues in the future. Such impacts could have a material adverse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Risks Related to Real Estate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Illiquidity of real estate investments could significantly impede our ability to respond to adverse changes in the performance of our hotel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real estate investments are relatively illiquid, our ability to promptly sell one or more hotel properties in our portfolio in response to changing economic, financial and investment conditions may be limited. The real estate market is affected by many factors that are beyond our control,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adverse changes in international, national, regional and local economic and market conditions;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interest rates and in the availability, cost and terms of debt financing;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governmental laws and regulations, fiscal policies and zoning ordinances and the related costs of compliance with laws and regulations, fiscal policies and ordinances;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ongoing need for capital improvements, particularly in older structures;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expenses;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civil unrest, acts of God, including earthquakes, wildfires, tornadoes, hurricanes, floods and other natural disasters, which may result in uninsured losses, and acts of war or terrorism.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seek to sell hotel properties owned by us in the future. There can be no assurance that we will be able to sell any hotel property on acceptable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financing for hotel properties is not available or is not available on attractive terms, it will adversely impact the ability of third parties to buy our hotels. As a result, we may hold hotel properties for a longer period than we would otherwise desire and may sell hotels at a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be required to expend funds to correct defects or to make improvements before a hotel property can be sold. We cannot assure you that we will have funds available to correct those defects or to make those improvements. In acquiring a hotel property, we may agree to lock-out provisions that materially restrict us from selling that property for a period of time or impose other restrictions, such as a limitation on the amount of debt that can be placed or repaid on that property. These factors and any others that would impede our ability to respond to adverse changes in the performance of our properties could have a material adverse effect on our operating results and financial condition, as well as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Increases in our property taxes would adversely affect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Hotel properties are subject to real and personal property taxes. These taxes may increase as tax rates change and as the properties are assessed or reassessed by taxing authorities. In particular, our property taxes could increase following our hotel purchases as the acquired hotels are reassessed. If property taxes increase, our financial condition, results of operations and our ability to make distributions to our shareholders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hotel properties may contain or develop harmful mold, which could lead to liability for adverse health effects and costs of remediating the problem.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When excessive moisture accumulates in buildings or on building materials, mold growth may occur, particularly if the moisture problem remains undiscovered or is not addressed over a period of time. Some molds may produce airborne toxins or irritants. Concern about indoor exposure to mold has been increasing, as exposure to mold may cause a variety of adverse health effects and symptoms, including allergic or other reactions. As a result, the presence of mold to which hotel guests or employees could be exposed at any of the properties in which we own an interest could require us to undertake a costly remediation program to contain or remove the mold from the affected property. In addition, exposure to mold by guests or employees, management company employees or others could expose us to liability if property damage or health concerns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Organization and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rights and the rights of our shareholders to take action against our trustees and officers are limited, which could limit your recourse in the event of actions not in your best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Maryland law generally, a trustee is required to perform his or her duties in good faith, in a manner he or she reasonably believes to be in our best interests and with the care that an ordinarily prudent person in a like position would use under similar circumstances. Under Maryland law, trustees are presumed to have acted with this standard of care. In addition, our declaration of trust limits the liability of our trustees and officers to us and our shareholders for money damages, except for liability resulting from: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actual receipt of an improper benefit or profit in money, property or services; or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active and deliberate dishonesty by the trustee or officer that was established by a final judgment as being material to the cause of action adjudicated.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bylaws obligate us to indemnify our trustees and officers for actions taken by them in those capacities to the maximum extent permitted by Maryland law. Our bylaws require us to indemnify each trustee or officer, to the maximum extent permitted by Maryland law, in the defense of any proceeding to which he or she is made, or threatened to be made, a party by reason of his or her service to us. In addition, we may be obligated to advance the defense costs incurred by our trustees and officers. As a result, we and our shareholders may have more limited rights against our trustees and officers than might otherwise exist absent the current provisions in our declaration of trust and bylaws or that might exist with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Provisions of Maryland law may limit the ability of a third party to acquire control of our Company and may result in entrenchment of management and diminish the value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provisions of the Maryland General Corporation Law ("MGCL") applicable to Maryland real estate investment trusts may have the effect of inhibiting a third party from making a proposal to acquire us or of impeding a change of control under circumstances that otherwise could provide our common shareholders with the opportunity to realize a premium over the then-prevailing market price of such shares,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"Business combination"</w:t>
            </w:r>
            <w:r>
              <w:rPr>
                <w:rFonts w:ascii="Times New Roman;Times;serif" w:hAnsi="Times New Roman;Times;serif"/>
                <w:caps w:val="false"/>
                <w:smallCaps w:val="false"/>
                <w:sz w:val="20"/>
              </w:rPr>
              <w:t> provisions that, subject to limitations, prohibit certain business combinations between us and an "interested shareholder" (defined generally as any person who beneficially owns 10% or more of the voting power of our shares) or an affiliate of any interested shareholder for five years after the most recent date on which the shareholder becomes an interested shareholder, and thereafter imposes special appraisal rights and special shareholder voting requirements on these combinations;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"Control share"</w:t>
            </w:r>
            <w:r>
              <w:rPr>
                <w:rFonts w:ascii="Times New Roman;Times;serif" w:hAnsi="Times New Roman;Times;serif"/>
                <w:caps w:val="false"/>
                <w:smallCaps w:val="false"/>
                <w:sz w:val="20"/>
              </w:rPr>
              <w:t> provisions that provide that our "control shares" (defined as shares which, when aggregated with other shares controlled by the shareholder, entitle the shareholder to exercise one of three increasing ranges of voting power in electing trustees) acquired in a "control share acquisition" (defined as the direct or indirect acquisition of ownership or control of "control shares") have no voting rights except to the extent approved by our shareholders by the affirmative vote of at least two-thirds of all the votes entitled to be cast on the matter, excluding all interested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Title 3, Subtitle 8 of the MGCL permits our Board of Trustees, without shareholder approval and regardless of what is currently provided in our declaration of trust or bylaws, to implement certain takeover defenses, including, but not limited to, the adoption of a classified board. In November 2013, our Board of Trustees opted in to Subtitle 8 and adopted a classified board structure in order to protect shareholder value in the wake of what our Board considered to be an unsolicited and inadequate proposal to acquire us. Although our Board subsequently took action in April 2015 to opt back out of the provisions of Subtitle 8 and declassified our Board of Trustees, our Board may elect to opt back in to Subtitle 8 again in the future. These provisions may have the effect of inhibiting a third party from making an acquisition proposal for our company or of delaying, deferring or preventing a change in control of our company under the circumstances that otherwise could provide our common shareholders with the opportunity to realize a premium over the then current market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Provisions of our declaration of trust may limit the ability of a third party to acquire control of our Company and may result in entrenchment of management and diminish the value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declaration of trust authorizes our Board of Trustees to issue up to 500,000,000 common shares and up to 100,000,000 preferred shares. In addition, our Board of Trustees may, without shareholder approval, amend our declaration of trust to increase the aggregate number of our shares or the number of shares of any class or series that we have the authority to issue and to classify or reclassify any unissued common shares or preferred shares and to set the preferences, rights and other terms of the classified or reclassified shares. As a result, our Board of Trustees may authorize the issuance of additional shares or establish a series of common or preferred shares that may have the effect of delaying or preventing a change in control of our company, including transactions at a premium over the market price of our shares, even if shareholders believe that a change of control is in their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Failure to make required distributions would subject us to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maintain our qualifications as a REIT, each year we must distribute to our shareholders at least 90% of our REIT taxable income, determined without regard to the deductions for dividends paid and excluding any net capital gain. To the extent that we satisfy this distribution requirement, but distribute less than 100% of our taxable income, we will be subject to federal corporate income tax on our undistributed REIT taxable income. In addition, we will be subject to a 4% nondeductible excise tax if the actual amount that we pay out to our shareholders in a calendar year is less than a minimum amount specified under the Code. Our only source of funds to make these distributions comes from distributions that we will receive from our Operating Partnership. Accordingly, we may be required to borrow or raise capital on terms, or sell assets at prices or at times we regard unfavorable or make taxable distributions of our capital shares or debt securities, to enable us to pay out enough of our REIT taxable income to satisfy the distribution requirement and to avoid federal corporate income tax and the 4% nondeductible excise tax in a particular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Failure to maintain our qualification as a REIT would subject us to federal income tax and potentially to state and local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elected to be taxed as a REIT for federal income tax purposes. However, qualification as a REIT involves the application of highly technical and complex provisions of the Code, for which only a limited number of judicial and administrative interpretations exist. Even an inadvertent or technical mistake could jeopardize our REIT qualification. Our qualification as a REIT depends on our satisfaction of certain asset, income, organizational, distribution, shareholder ownership and other requirements on a continuing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Moreover, new tax legislation, administrative guidance or court decisions, in each instance potentially applicable with retroactive effect, could make it more difficult or impossible for us to qualify as a REIT. If we were to fail to qualify as a REIT in any taxable year, we would be subject to federal income tax on our taxable income at regular corporate rates and distributions to shareholders would not be deductible by us in computing our taxable income. We may also be subject to state and local taxes if we fail to qualify as a REIT. Any such corporate tax liability could be substantial and would reduce the amount of cash available for distribution to our shareholders, which in turn could have an adverse impact on the value of our shares of beneficial interest. If, for any reason, we failed to qualify as a REIT and we were not entitled to relief under certain Code provisions, we would be unable to elect REIT status for the four taxable years following the year during which we ceased to so qualify, which would negatively impact the value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TRS Lessee structure subjects us to the risk of increased hotel operating expenses that could adversely affect our operating results and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leases with our TRS Lessees require our TRS Lessees to pay rent based in part on revenues from our hotels. Our operating risks include decreases in hotel revenues and increases in hotel operating expenses, which would adversely affect our TRS Lessees' ability to pay rent due under the leases, including but not limited to the increases in wage and benefit costs, repair and maintenance expenses, energy costs, property taxes, insurance costs and 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Increases in these operating expenses can have a significant adverse impact on our financial condition, results of operations, the market price of our common shares and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TRS structure increases our overall tax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TRS holding company is subject to applicable federal, state and local income tax on its taxable income, which consists of the revenues from the hotel properties leased by our TRS Lessees, net of the operating expenses for such hotel properties and rent payments to us. In certain circumstances, the ability of our TRS Lessees to deduct net interest expense could be limited. Accordingly, although our ownership of our TRS Lessees allows us to participate in the operating income from our hotel properties in addition to receiving rent, that operating income is fully subject to income tax. The after-tax net income of our TRS holding company is available for distribution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transactions with our TRS will cause us to be subject to a 100% penalty tax on certain income or deductions if those transactions are not conducted on arm's-length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REIT may own up to 100% of the stock of one or more TRSs. A TRS may hold assets and earn income that would not be qualifying assets or income if held or earned directly by a REIT, including gross operating income from hotels that are operated by eligible independent contractors pursuant to hotel management agreements. Both the subsidiary and the REIT must jointly elect to treat the subsidiary as a TRS. A corporation of which a TRS directly or indirectly owns more than 35% of the voting power or value of the stock will automatically be treated as a TRS. Overall, no more than 20% of the value of a REIT's gross assets may consist of stock or securities of one or more TRSs. In addition, the TRS rules limit the deductibility of interest paid or accrued by a TRS to its parent REIT to assure that the TRS is subject to an appropriate level of corporate taxation. The rules also impose a 100% excise tax on certain transactions between a TRS and its parent REIT that are not conducted on an arm's-length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TRS holding company is subject to federal, foreign, state and local income tax on its taxable income, and its after-tax net income is available for distribution to us but is not required to be distributed to us. We believe that the aggregate value of the stock and securities of our TRS is and will continue to be less 20% of the value of our total gross assets (including our TRS stock and securities). Furthermore, we will monitor the value of our respective investments in our TRS holding company for the purpose of ensuring compliance with TRS ownership limitations. In addition, we will scrutinize all of our transactions with our TRS holding company and our TRS Lessees to ensure that they are entered into on arm's-length terms to avoid incurring the 100% excise tax described above. There can be no assurance, however, that we will be able to comply with the 20% limitation discussed above or to avoid application of the 100% excise tax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our leases with our TRS Lessees are not respected as true leases for federal income tax purposes, we would fail to qualify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qualify as a REIT, we are required to satisfy two gross income tests, pursuant to which specified percentages of our gross income must be passive income, such as rent. For the rent paid pursuant to the hotel leases with our TRS Lessees, which should constitute substantially all of our gross income, to qualify for purposes of the gross income tests, the leases must be respected as true leases for federal income tax purposes and must not be treated as service contracts, joint ventures or some other type of arrangement. We have structured our leases, and intend to structure any future leases, so that the leases will be respected as true leases for federal income tax purposes, but there can be no assurance that the IRS will agree with this characterization, not challenge this treatment or that a court would not sustain such a challenge. If the leases were not respected as true leases for federal income tax purposes, we would not be able to satisfy either of the two gross income tests applicable to REITs and likely would fail to qualify for REIT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Dividends payable by REITs do not qualify for the reduced tax rates available for some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maximum U.S. federal income tax rate applicable to qualified dividend income payable to certain non-corporate U.S. shareholders is 20%. Dividends payable by REITs, however, generally are not eligible for the reduced qualified dividend rates. For taxable years beginning before January 1, 2026, non-corporate taxpayers may deduct up to 20% of certain pass-through business income, including “qualified REIT dividends” (generally, dividends received by a REIT shareholder that are not designated as capital gain dividends or qualified dividend income), subject to certain limitations, resulting in an effective maximum U.S. federal income tax rate of 29.6% on such income. Although the reduced U.S. federal income tax rate applicable to qualified dividend income does not adversely affect the taxation of REITs or dividends payable by REITs, the more favorable rates applicable to regular corporate qualified dividends and the reduced corporate tax rate could cause certain non-corporate investors to perceive investments in REITs to be relatively less attractive than investments in the stocks of non-REIT corporations that pay dividends, which could adversely affect the value of the shares of REITs, including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our hotel managers do not qualify as "eligible independent contractors," we would fail to qualify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Rent paid by a lessee that is a "related party tenant" of ours will not be qualifying income for purposes of the two gross income tests applicable to REITs. We lease all of our hotels to our TRS Lessees. A TRS Lessee will not be treated as a "related party tenant," and will not be treated as directly operating a lodging facility to the extent the TRS Lessee leases properties from us that are managed by an "eligible independent contractor." In addition, our TRS holding company will fail to qualify as a “taxable REIT subsidiary” if it or any of our TRS Lessees lease or own a lodging facility that is not managed by an “eligible independent contractor.”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our hotel managers do not qualify as "eligible independent contractors," we would fail to qualify as a REIT. Each of the hotel management companies that enters into a management contract with a TRS Lessee must qualify as an "eligible independent contractor" under the REIT rules in order for the rent paid to us by the TRS Lessee to be qualifying income for our REIT income test requirements and for our TRS holding company to qualify as a “taxable REIT subsidiary”. Among other requirements, in order to qualify as an eligible independent contractor, a manager must not own more than 35% of our outstanding shares (by value) and no person or group of persons can own more than 35% of our outstanding shares and the ownership interests of the manager, taking into account only owners of more than 5% of our shares and, with respect to ownership interests in such managers that are publicly traded, only holders of more than 5% of such ownership interests. Complex ownership attribution rules apply for purposes of these 35% thresholds. Although we intend to monitor ownership of our shares by our property managers and their owners, there can be no assurance that these ownership levels will not be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ownership limitations may restrict or prevent you from engaging in certain transfers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order to satisfy the requirements for REIT qualification, no more than 50% in value of our outstanding shares may be owned, directly or indirectly, by five or fewer individuals (as defined in the Code to include certain entities) at any time during the last half of each taxable year. To assist us in satisfying the requirements for our REIT qualification, our declaration of trust contains an ownership limit on each class and series of our shares. Under applicable constructive ownership rules, any common shares owned by certain affiliated owners generally will be added together for purposes of the common share ownership limit, and any shares of a given class or series of preferred shares owned by certain affiliated owners generally will be added together for purposes of the ownership limit on such class or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anyone transfers shares in a way that would violate the ownership limit, or prevent us from qualifying as a REIT under the federal income tax laws, those shares instead will be transferred to a trust for the benefit of a charitable beneficiary and will be either redeemed by us or sold to a person whose ownership of the shares will not violate the ownership limit. If this transfer to a trust fails to prevent such a violation or our continued qualification as a REIT, then the initial intended transfer shall be null and void from the outset. The intended transferee of those shares will be deemed never to have owned the shares. Anyone who acquires shares in violation of the ownership limit or the other restrictions on transfer in our declaration of trust bears the risk of suffering a financial loss when the shares are redeemed or sold if the market price of our shares falls between the date of purchase and the date of redemption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ability of our Board of Trustees to revoke our REIT qualification without shareholder approval may cause adverse consequences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declaration of trust provides that our Board of Trustees may revoke or otherwise terminate our REIT election, without the approval of our shareholders, if it determines that it is no longer in our best interest to continue to qualify as a REIT. If we cease to qualify as a REIT, we would become subject to federal income tax on our taxable income and would no longer be required to distribute most of our taxable income to our shareholders, which may have adverse consequences on our total return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ability of our Board of Trustees to change our major policies may not be in our shareholders</w:t>
      </w:r>
      <w:r>
        <w:rPr>
          <w:rFonts w:ascii="Times New Roman" w:hAnsi="Times New Roman"/>
          <w:caps w:val="false"/>
          <w:smallCaps w:val="false"/>
          <w:sz w:val="20"/>
        </w:rPr>
        <w:t xml:space="preserve">’ </w:t>
      </w:r>
      <w:r>
        <w:rPr>
          <w:rFonts w:ascii="Times New Roman" w:hAnsi="Times New Roman"/>
          <w:b/>
          <w:i/>
          <w:caps w:val="false"/>
          <w:smallCaps w:val="false"/>
          <w:sz w:val="20"/>
        </w:rPr>
        <w:t>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Board of Trustees determines our major policies, including policies and guidelines relating to our acquisitions, leverage, financing, growth, operations and distributions to shareholders and our continued qualification as a REIT. Our board may amend or revise these and other policies and guidelines from time to time without the vote or consent of our shareholders. Accordingly, our shareholders will have limited control over changes in our policies and those changes could adversely affect our financial condition, results of operations, the market price of our common shares and our ability to make distributions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fail to maintain an effective system of internal controls, we may not be able to accurately determine our financial results or prevent fraud. As a result, our investors could lose confidence in our reported financial information, which could harm our business and the value of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Effective internal controls are necessary for us to provide reliable financial reports and effectively prevent fraud. We may in the future discover areas of our internal controls that need improvement. Section 404 of the Sarbanes-Oxley Act of 2002 requires us to evaluate and report on our internal controls over financial reporting and have our independent auditors annually issue their opinion on our internal control over financial reporting. As we grow our business and acquire new hotel properties, directly or through joint ventures, with existing internal controls that may not be consistent with our own, our internal controls will become more complex, and we will require significantly more resources to ensure our internal controls remain effective. If we or our independent auditors discover a material weakness, the disclosure of that fact, even if quickly remedied, could reduce the market value of our common shares. In particular, we will need to establish, or cause our third party hotel managers to establish, controls and procedures to ensure that hotel revenues and expenses are properly recorded at our hotels.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Any such failure could cause investors to lose confidence in our reported financial information and adversely affect the market value of our common shares or limit our access to the capital markets and other 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Complying with REIT requirements may cause us to forego otherwise attractive opportunities or liquidate otherwise attractive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maintain our qualification as a REIT for federal income tax purposes, we must continually satisfy tests concerning, among other things, the sources of our income, the nature and diversification of our assets, the amounts we distribute to our shareholders and the ownership of our shares of beneficial interest. In order to meet these tests, we may be required to forego investments we might otherwise make. Thus, compliance with the REIT requirements may hinder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particular, we must ensure that at the end of each calendar quarter, at least 75% of the value of our gross assets consists of cash, cash items, government securities and qualified real estate assets. The remainder of our investment in securities (other than government securities, securities that constitute qualified real estate assets and securities of our TRS) generally cannot include more than 10% of the outstanding voting securities of any one issuer or more than 10% of the total value of the outstanding securities of any one issuer. In addition, in general, no more than 5% of the value of our gross assets (other than government securities, securities that constitute qualified real estate assets and securities of our TRS) can consist of the securities of any one issuer, no more than 25% of the value of our assets can consist of debt of "publicly offered REITs" that is not secured by real property, and no more than 20% of the value of our total gross assets can be represented by the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subject to adverse legislative or regulatory tax changes that could reduce the market price of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any time, the federal income tax laws governing REITs or the administrative interpretations of those laws may be amended. We cannot predict when or if any new federal income tax law, regulation, or administrative interpretation, or any amendment to any existing federal income tax law, regulation or administrative interpretation, will be adopted, promulgated or become effective and any such law, regulation, or interpretation may take effect retroactively. Several recent proposals have been made that would make substantial changes to the U.S. federal income tax laws generally. We cannot predict whether any of these proposed changes will become law, or the long-term effect of any future law changes on REITs and their shareholders generally. We and our shareholders could be adversely affected by any such change in, or any new, federal income tax law, regulation or administrative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unable to generate sufficient cash flows from our operations to make distributions to our shareholders at any time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generally required to distribute to our shareholders at least 90% of our REIT taxable income (determined without regard to the deduction for dividends paid and excluding any net capital gains) each year for us to qualify as a REIT under the Code, which requirement we currently intend to satisfy. To the extent we satisfy the 90% distribution requirement but distribute less than 100% of our REIT taxable income, we will be subject to federal corporate income tax on our undistributed taxable income. We have not established a minimum distribution payment level, and our ability to make distributions to our shareholders may be adversely affected by the risk factors described in this Form 10-K. Subject to satisfying the requirements for REIT qualification, we intend over time to make regular distributions to our shareholders. Our Board of Trustees has the sole discretion to determine the timing, form and amount of any distributions to our shareholders. Our Board of Trustees makes determinations regarding distributions based upon, among other factors, our historical and projected results of operations, financial condition, cash flows and liquidity, satisfaction of the requirements for REIT qualification and other tax considerations, capital expenditure and other expense obligations, debt covenants, contractual prohibitions or other limitations and applicable law and such other matters as our Board of Trustees may deem relevant from time to time. Among the factors that could impair our ability to make distributions to our shareholders are:</w:t>
      </w:r>
    </w:p>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60"/>
        <w:gridCol w:w="110"/>
        <w:gridCol w:w="93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realize attractive returns on our investments;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unanticipated expenses that reduce our cash flow or non-cash earnings;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decreases in the value of the underlying assets;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fact that anticipated operating expense levels may not prove accurate, as actual results may vary from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result, no assurance can be given that we will be able to make distributions to our shareholders or that the level of any distributions we do make to our shareholders will achieve a market yield or increase or even be maintained over time, any of which could materially and adversely affect the market price of our common shares. Distributions could be dilutive to our financial results and may constitute a return of capital to our investors, which would have the effect of reducing each shareholder's basis in its common shares. We also could use borrowed funds or proceeds from the sale of assets to fund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distributions that we make to our shareholders are generally taxable to our shareholders as ordinary income. However, a portion of our distributions may be designated by us as long-term capital gains to the extent that they are attributable to capital gain income recognized by us or may constitute a return of capital to the extent that they exceed our earnings and profits as determined for tax purposes. A return of capital is not taxable, but has the effect of reducing the basis of a shareholder's investment in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revolving credit facility and term loan may limit our ability to pay dividends on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our credit facility, consisting of an unsecured revolving credit facility and an unsecured term loan facility, our distributions may not exceed the greater of (i) 95% of adjusted funds from operations (as defined in our credit agreement) for the preceding four-quarter period or (ii) the amount required for us to maintain our status as a REIT. As a result, if we do not generate sufficient adjusted funds from operations during the four quarters preceding any common share dividend payment date, we would not be able to pay dividends to our common shareholders consistent with our past practice without causing a default under our credit agreement. In the event of a default under our credit agreement, we would be unable to borrow under our revolving credit facility or term loan and any amounts we have borrowed thereunder could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market price of our equity securities may vary substantially, which may limit your ability to liquidate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trading prices of equity securities issued by REITs have historically been affected by changes in market interest rates and other factors. One of the factors that may influence the price of our shares in public trading markets is the annual yield from distributions on our common or preferred shares as compared to yields on other financial instruments. An increase in market interest rates, or a decrease in our distributions to shareholders, may lead prospective purchasers of our shares to demand a higher annual yield, which could reduce the market price of our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factors that could affect the market price of our equity securities include the following:</w:t>
      </w:r>
    </w:p>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110"/>
        <w:gridCol w:w="89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anticipated variations in our quarterly results of operations;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market valuations of companies in the hotel or real estate industries;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expectations of future financial performance or changes in estimates of securities analysts;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stock market prices and volumes;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issuances of common shares or other securities in the future;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addition or departure of key personnel;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by us or our competitors of acquisitions, investments or strategic alliances or changes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we have a smaller equity market capitalization compared to some other hotel REITs and our common shares may trade in low volumes, the stock market price of our common shares may be susceptible to fluctuation to a greater extent than companies with larger market capitalizations. As a result, your ability to liquidate your investment in our company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number of shares available for future sale could adversely affect the market price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cannot predict the effect, if any, of future sales of common shares, or the availability of common shares for future sale, on the market price of our common shares. Sales of substantial amounts of common shares (including shares issued to our trustees and officers), or the perception that these sales could occur, may adversely affect prevailing market prices for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may issue from time to time additional common shares or common units in our Operating Partnership in connection with the acquisition of properties and we may grant demand or piggyback registration rights in connection with these issuances. Sales of substantial amounts of our common shares or the perception that these sales could occur may adversely affect the prevailing market price for our common shares or may impair our ability to raise capital through a sale of additional equity securities. Our Equity Incentive Plan provides for grants of equity based awards up to an aggregate of 6,750,000 common shares and we may seek to increase shares available under our Equity Incentive Plan in the future. Our DRSPP (defined below) permits the purchase of up to $50 million of our common shares through purchases and reinvestment of dividends on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Future offerings of debt or equity securities or incurrence of debt may adversely affect the market price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decide to issue debt or equity securities in the future ranking senior to our common shares or otherwise incur indebtedness (including under our credit facility), it is possible that these securities or indebtedness will be governed by an indenture or other instrument containing covenants restricting our operating flexibility and limiting our ability to make distributions to our shareholders. Additionally, any convertible or exchangeable securities that we issue in the future may have rights, preferences and privileges, including with respect to distributions, more favorable than those of our common shares and may result in dilution to owners of our common shares. Because our decision to issue debt or equity securities in any future offering or otherwise incur indebtedness will depend on market conditions and other factors beyond our control, we cannot predict or estimate the amount, timing or nature of our future offerings or financings, any of which could reduce the market price of our common shares and dilute the value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6" w:name="unresolved"/>
      <w:bookmarkEnd w:id="6"/>
      <w:r>
        <w:rPr>
          <w:rFonts w:ascii="Times New Roman" w:hAnsi="Times New Roman"/>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7" w:name="cyber"/>
      <w:bookmarkEnd w:id="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1C.</w:t>
      </w:r>
      <w:r>
        <w:rPr>
          <w:rFonts w:ascii="Times New Roman" w:hAnsi="Times New Roman"/>
          <w:b/>
          <w:caps w:val="false"/>
          <w:smallCaps w:val="false"/>
          <w:sz w:val="20"/>
        </w:rPr>
        <w:t xml:space="preserve">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and Board recognize the critical importance of addressing cybersecurity threats and risks to our business and operations. Therefore, we have established a comprehensive framework to assess, respond to, and manage material risks arising from cybersecurity threats.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Assessment, Identification and Management of Material Risks from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We rely on the cybersecurity strategy and policies implemented by IHM, the manager of all the Company’s properties, with whom we share corporate office space. IHM’s cybersecurity strategy prioritizes detection and analysis of and response to known, anticipated or unexpected threats, effective management of security risks and resilience against cyber incidents. IHM’s enterprise-wide cybersecurity program is aligned to the National Institute of Standards and Technology Cybersecurity Framework. IHM’s cybersecurity risk management processes include technical security controls, monitoring systems, tools and related services, which include tools and services from </w:t>
      </w:r>
      <w:r>
        <w:rPr>
          <w:rStyle w:val="Emphasis"/>
          <w:rFonts w:ascii="Times New Roman" w:hAnsi="Times New Roman"/>
          <w:caps w:val="false"/>
          <w:smallCaps w:val="false"/>
          <w:sz w:val="20"/>
        </w:rPr>
        <w:t>third</w:t>
      </w:r>
      <w:r>
        <w:rPr>
          <w:rFonts w:ascii="Times New Roman" w:hAnsi="Times New Roman"/>
          <w:caps w:val="false"/>
          <w:smallCaps w:val="false"/>
          <w:sz w:val="20"/>
        </w:rPr>
        <w:t>-party providers, and management oversight to assess, identify and manage risks from cybersecurity threats. IHM has implemented and continues to implement risk-based controls designed to prevent, detect and respond to information security threats and we rely on those controls to help us protect our information, our information systems, and the information of our investors and other third parties who entrust us with their sensitive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IHM’s cybersecurity program includes physical, administrative and technical safeguards, as well as plans and procedures designed to help IHM prevent and timely and effectively respond to cybersecurity threats and incidents, including threats or incidents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impact us. IHM’s cybersecurity risk management process seeks to monitor cybersecurity vulnerabilities and potential attack vectors, evaluate the potential operational and financial effects of any threat and mitigate such threats. The assessment of cybersecurity risks, including those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impact us, is integrated into IHM’s information technology program. In addition, both IHM and the Company periodically engage with third-party consultants and key vendors to assist them in assessing, enhancing, implementing and monitoring its cybersecurity risk management programs and responding to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IHM undertakes periodic internal security reviews of our information systems and related controls, including systems affecting personal data and the cybersecurity risks of IHM’s and our critical </w:t>
      </w:r>
      <w:r>
        <w:rPr>
          <w:rStyle w:val="Emphasis"/>
          <w:rFonts w:ascii="Times New Roman" w:hAnsi="Times New Roman"/>
          <w:caps w:val="false"/>
          <w:smallCaps w:val="false"/>
          <w:sz w:val="20"/>
        </w:rPr>
        <w:t>third</w:t>
      </w:r>
      <w:r>
        <w:rPr>
          <w:rFonts w:ascii="Times New Roman" w:hAnsi="Times New Roman"/>
          <w:caps w:val="false"/>
          <w:smallCaps w:val="false"/>
          <w:sz w:val="20"/>
        </w:rPr>
        <w:t>-party vendors and other partners. IHM also completes periodic external reviews of its cybersecurity program and practices, which include assessments of relevant data protection practices and targeted attack simulations.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much of the sensitive information relating to hotel guests is controlled by the respective franchisor companies, affiliates of Marriott International, Inc., Hilton Worldwide Holdings, Inc., and Hyatt Hotels Corporation, each of which is a public company with cybersecurity protection policies in place which each publicly discloses.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aid its own security, the Company has adopted a number of cybersecurity policies including an Incident Response Plan, an Acceptable Use Policy for employees and a Service Provider Cybersecurity Management Policy (collectively, the “Cybersecurity Policies”), through which the Company ensures that key vendors with access to sensitive information have contractual terms obligating their compliance with the Company's processes,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IHM, in coordination with our General Counsel, is responsible for testing the Incident Response Plan on a periodic basis. In addition, our Audit Committee and General Counsel will review on at least an annual basis the Incident Response Plan and update the Incident Response Plan, as appropriate, to address applicable legal requirements and the Company’s policies, procedures and information security and business objectives. Periodically, the Audit Committee will review (i) the Cybersecurity Policies and (ii) the Company’s cybersecurity risk exposure and discusses steps management has taken to monitor or mitigate such risk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Material Impact of Cybersecurity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In the last three fiscal years, we have not experienced a material information security breach incident, and we are not aware of any cybersecurity risks that are reasonably likely to materially affect our business. However, future incidents could have a material impact on our business strategy, results of operations or financial condition. For additional discussion of the risks posed by cybersecurity threats, see “Item 1A. Risk Factors— General Risk Factors— Cybersecurity failures and data security incidents could adversely affect our business by causing a disruption to our operations, a compromise or corruption of our confidential, personal or other sensitive information and/or damage to our business relationships or reputation, any of which could negatively impact our business, financial condition and operating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Governance of Cybersecurity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Audit Committee of the Board has the primary responsibility for oversight and review of guidelines and policies with respect to risk assessment and risk management, including cybersecurity. IHM and the Company’s Chief Executive Officer, Chief Financial Officer, Chief Operating Officer and General Counsel (collectively, the “Executive Leadership Team”) are responsible for assessing and managing cybersecurity risks. Certain members of IHM periodically report to the Company’s management on cybersecurity issues and management presents information to our Audit Committee as well as our full Board, as appropriate, on cybersecurity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Upon verifying that a cybersecurity incident has occurred or is occurring, the Executive Leadership Team or their designees, in cooperation with IHM, will promptly conduct a preliminary assessment of the severity level of the cybersecurity incident. Following this assessment, IHM will report the cybersecurity incident to the Chief Executive Officer, who in consultation with the General Counsel, will inform the chair of the Audit Committee, who will then report such cybersecurity incident to the Board as the chair deems appropriate. All Level 1 (High Severity) cybersecurity incidents will be reported to the Board.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8" w:name="properties"/>
      <w:bookmarkEnd w:id="8"/>
      <w:r>
        <w:rPr>
          <w:rFonts w:ascii="Times New Roman" w:hAnsi="Times New Roman"/>
          <w:b/>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sets forth certain operating information for our hotels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8"/>
        <w:gridCol w:w="60"/>
        <w:gridCol w:w="1363"/>
        <w:gridCol w:w="60"/>
        <w:gridCol w:w="830"/>
        <w:gridCol w:w="60"/>
        <w:gridCol w:w="575"/>
        <w:gridCol w:w="60"/>
        <w:gridCol w:w="79"/>
        <w:gridCol w:w="576"/>
        <w:gridCol w:w="60"/>
        <w:gridCol w:w="60"/>
        <w:gridCol w:w="111"/>
        <w:gridCol w:w="569"/>
        <w:gridCol w:w="60"/>
        <w:gridCol w:w="515"/>
        <w:gridCol w:w="60"/>
        <w:gridCol w:w="139"/>
        <w:gridCol w:w="764"/>
        <w:gridCol w:w="60"/>
        <w:gridCol w:w="60"/>
        <w:gridCol w:w="176"/>
        <w:gridCol w:w="681"/>
        <w:gridCol w:w="60"/>
        <w:gridCol w:w="519"/>
      </w:tblGrid>
      <w:tr>
        <w:trPr/>
        <w:tc>
          <w:tcPr>
            <w:tcW w:w="2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83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Date of</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Year</w:t>
            </w:r>
          </w:p>
        </w:tc>
        <w:tc>
          <w:tcPr>
            <w:tcW w:w="60" w:type="dxa"/>
            <w:tcBorders/>
            <w:shd w:fill="FFFFFF" w:val="clear"/>
            <w:vAlign w:val="center"/>
          </w:tcPr>
          <w:p>
            <w:pPr>
              <w:pStyle w:val="TableContents"/>
              <w:bidi w:val="0"/>
              <w:spacing w:before="0" w:after="283"/>
              <w:ind w:left="0" w:right="0" w:hanging="0"/>
              <w:jc w:val="left"/>
              <w:rPr/>
            </w:pPr>
            <w:r>
              <w:rPr/>
              <w:t> </w:t>
            </w:r>
          </w:p>
        </w:tc>
        <w:tc>
          <w:tcPr>
            <w:tcW w:w="6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Purchase</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Purchase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Mortgage</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Property</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136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Location</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Acquisition</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Opened</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of Rooms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per Room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Debt 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Homewood Suites by Hilton Hartford-Farmington</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Farmington, Connecticut</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4/23/2010</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1999</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Long Island Holtsville</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Holtsville, New York</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8/3/2010</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2004</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White Plains</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White Plains, New York</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9/23/2010</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1982</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New Rochelle</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New Rochelle, New York</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10/5/2010</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2000</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Garden Grove</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Garden Grove, California</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7/14/2011</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2003</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43.6</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Homewood Suites by Hilton San Antonio River Walk</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San Antonio, Texas</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7/14/2011</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1996</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Washington DC</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Washington, DC</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7/14/2011</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1974</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Tysons Corner</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Vienna, Virginia</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7/14/2011</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2001</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37.0</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305,785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Hampton Inn Portland Downtown</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Portland, Maine</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12/27/2012</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2011</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Hyatt Place Pittsburgh North Shore</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Pittsburgh, Pennsylvania</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6/17/2013</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2010</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w:t>
            </w:r>
          </w:p>
        </w:tc>
        <w:tc>
          <w:tcPr>
            <w:tcW w:w="60"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Hampton Inn Exeter</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Exeter, New Hampshire</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8/9/2013</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2010</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w:t>
            </w:r>
          </w:p>
        </w:tc>
        <w:tc>
          <w:tcPr>
            <w:tcW w:w="60"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Bellevue</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Bellevue, Washington</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10/31/2013</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2008</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71.8</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316,883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Springhill Suites Savannah</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Savannah, Georgia</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12/5/2013</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2009</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39.8</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248,438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22.0</w:t>
            </w:r>
          </w:p>
        </w:tc>
        <w:tc>
          <w:tcPr>
            <w:tcW w:w="60"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Silicon Valley I</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Sunnyvale, CA</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6/9/2014</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1983</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92.8</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401,776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Silicon Valley II</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Sunnyvale, CA</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6/9/2014</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1985</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102.0</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411,103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San Mateo</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San Mateo, CA</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6/9/2014</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1985</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72.7</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454,097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Mountain View</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Mountain View, CA</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6/9/2014</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1985</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56.4</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503,869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Hyatt Place Cherry Creek</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Glendale, CO</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8/29/2014</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1987</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32.0</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Courtyard Addison</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Addison, TX</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11/17/2014</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2000</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San Diego Gaslamp</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San Diego, CA</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2/25/2015</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2009</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90.0</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Dedham</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Dedham, MA</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7/17/2015</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2008</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22.0</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Il Lugano</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Fort Lauderdale, FL</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8/17/2015</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2013</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319,048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Hilton Garden Inn Marina del Rey</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Marina del Rey, CA</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9/17/2015</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1998</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336,194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Home2 Suites Woodland Hills</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Woodland Hills, CA</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8/29/2017</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2022</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70.9</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Hilton Garden Inn Portsmouth</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Portsmouth, NH</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9/20/2017</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2006</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43.5</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Summerville Courtyard</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Summerville, SC</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11/15/2017</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2014</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w:t>
            </w:r>
          </w:p>
        </w:tc>
        <w:tc>
          <w:tcPr>
            <w:tcW w:w="60"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Embassy Suites Springfield</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Springfield, VA</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12/6/2017</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2013</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68.0</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Summerville Residence Inn</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Summerville, SC</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8/27/2018</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2018</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w:t>
            </w:r>
          </w:p>
        </w:tc>
        <w:tc>
          <w:tcPr>
            <w:tcW w:w="60"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Dallas DT Courtyard</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Dallas, TX</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12/5/2018</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2018</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293,413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24.5</w:t>
            </w:r>
          </w:p>
        </w:tc>
        <w:tc>
          <w:tcPr>
            <w:tcW w:w="60"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Residence Inn Austin Northwest/The Domain Area</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Austin, TX</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8/3/2021</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2016</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37.0</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w:t>
            </w:r>
          </w:p>
        </w:tc>
        <w:tc>
          <w:tcPr>
            <w:tcW w:w="60"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TownePlace Suites Austin Northwest/The Domain Area</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Austin, TX</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8/3/2021</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2021</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34.3</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w:t>
            </w:r>
          </w:p>
        </w:tc>
        <w:tc>
          <w:tcPr>
            <w:tcW w:w="60"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r>
      <w:tr>
        <w:trPr/>
        <w:tc>
          <w:tcPr>
            <w:tcW w:w="26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Hilton Garden Inn Destin Miramar Beach</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Miramar Beach, FL</w:t>
            </w:r>
          </w:p>
        </w:tc>
        <w:tc>
          <w:tcPr>
            <w:tcW w:w="60" w:type="dxa"/>
            <w:tcBorders/>
            <w:shd w:fill="FFFFFF" w:val="clear"/>
            <w:vAlign w:val="center"/>
          </w:tcPr>
          <w:p>
            <w:pPr>
              <w:pStyle w:val="TableContents"/>
              <w:bidi w:val="0"/>
              <w:spacing w:before="0" w:after="283"/>
              <w:ind w:left="0" w:right="0" w:hanging="0"/>
              <w:jc w:val="right"/>
              <w:rPr/>
            </w:pPr>
            <w:r>
              <w:rPr/>
              <w:t> </w:t>
            </w:r>
          </w:p>
        </w:tc>
        <w:tc>
          <w:tcPr>
            <w:tcW w:w="8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3/8/2022</w:t>
            </w:r>
          </w:p>
        </w:tc>
        <w:tc>
          <w:tcPr>
            <w:tcW w:w="60" w:type="dxa"/>
            <w:tcBorders/>
            <w:shd w:fill="FFFFFF" w:val="clear"/>
            <w:vAlign w:val="center"/>
          </w:tcPr>
          <w:p>
            <w:pPr>
              <w:pStyle w:val="TableContents"/>
              <w:bidi w:val="0"/>
              <w:spacing w:before="0" w:after="283"/>
              <w:ind w:left="0" w:right="0" w:hanging="0"/>
              <w:jc w:val="center"/>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2020</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r>
      <w:tr>
        <w:trPr/>
        <w:tc>
          <w:tcPr>
            <w:tcW w:w="26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Home2 Suites Phoenix Downtown</w:t>
            </w:r>
          </w:p>
        </w:tc>
        <w:tc>
          <w:tcPr>
            <w:tcW w:w="60" w:type="dxa"/>
            <w:tcBorders/>
            <w:shd w:fill="CCEEFF" w:val="clear"/>
            <w:vAlign w:val="center"/>
          </w:tcPr>
          <w:p>
            <w:pPr>
              <w:pStyle w:val="TableContents"/>
              <w:bidi w:val="0"/>
              <w:spacing w:before="0" w:after="283"/>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Phoenix, AZ</w:t>
            </w:r>
          </w:p>
        </w:tc>
        <w:tc>
          <w:tcPr>
            <w:tcW w:w="60" w:type="dxa"/>
            <w:tcBorders/>
            <w:shd w:fill="CCEEFF" w:val="clear"/>
            <w:vAlign w:val="center"/>
          </w:tcPr>
          <w:p>
            <w:pPr>
              <w:pStyle w:val="TableContents"/>
              <w:bidi w:val="0"/>
              <w:spacing w:before="0" w:after="283"/>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5/30/2024</w:t>
            </w:r>
          </w:p>
        </w:tc>
        <w:tc>
          <w:tcPr>
            <w:tcW w:w="60" w:type="dxa"/>
            <w:tcBorders/>
            <w:shd w:fill="CCEEFF" w:val="clear"/>
            <w:vAlign w:val="center"/>
          </w:tcPr>
          <w:p>
            <w:pPr>
              <w:pStyle w:val="TableContents"/>
              <w:bidi w:val="0"/>
              <w:spacing w:before="0" w:after="283"/>
              <w:ind w:left="0" w:right="0" w:hanging="0"/>
              <w:jc w:val="center"/>
              <w:rPr/>
            </w:pPr>
            <w:r>
              <w:rPr/>
              <w:t> </w:t>
            </w:r>
          </w:p>
        </w:tc>
        <w:tc>
          <w:tcPr>
            <w:tcW w:w="5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2024</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43.3</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r>
      <w:tr>
        <w:trPr/>
        <w:tc>
          <w:tcPr>
            <w:tcW w:w="2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96" w:type="dxa"/>
            <w:gridSpan w:val="7"/>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5,021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1,400.9</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million</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279,008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143.2</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lease our headquarters at 222 Lakeview Avenue, Suite 200, West Palm Beach, FL 33401. The lease for our headquarters has an initial term that expires in 2026. We entered into a new 10-year corporate office lease in 2024 that will commence on or before September 1, 2026. The Residence Inn New Rochelle hotel is subject to an air rights lease and garage lease that each expire on December 1, 2104. The Residence Inn San Diego Gaslamp hotel is subject to a ground lease with an expiration of January 31, 2065. The Hilton Garden Inn Marina del Rey hotel is subject to a ground lease with an expiration of December 31, 2067. The Home2 Phoenix Downtown hotel is subject to a finance lease with an expiration in 2032; the property will be conveyed to us at no cost at the expiration of this term. For more information on the leases to which we or our hotels are subject, see "Item 1. Business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9" w:name="legal"/>
      <w:bookmarkEnd w:id="9"/>
      <w:r>
        <w:rPr>
          <w:rFonts w:ascii="Times New Roman" w:hAnsi="Times New Roman"/>
          <w:b/>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subject to various claims, lawsuits and legal proceedings, including routine litigation arising in the ordinary course of business, regarding the operation of its hotels, its managers and other Company matters. While it is not possible to ascertain the ultimate outcome of such matters, the Company believes that the aggregate identifiable amount of such liabilities, if any, will not have a material adverse impact on its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Refer to Note 13 “Commitments and Contingencies” of the notes to consolidated financial statements for discussion of all litigation matters, which is incorporated by reference herein and is considered an integral part of Part I, 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0" w:name="mine"/>
      <w:bookmarkEnd w:id="10"/>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1" w:name="part2"/>
      <w:bookmarkEnd w:id="11"/>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market"/>
      <w:bookmarkEnd w:id="12"/>
      <w:r>
        <w:rPr>
          <w:rFonts w:ascii="Times New Roman" w:hAnsi="Times New Roman"/>
          <w:b/>
          <w:caps w:val="false"/>
          <w:smallCaps w:val="false"/>
          <w:sz w:val="20"/>
        </w:rPr>
        <w:t>Item 5.</w:t>
      </w:r>
      <w:r>
        <w:rPr>
          <w:rFonts w:ascii="Times New Roman" w:hAnsi="Times New Roman"/>
          <w:caps w:val="false"/>
          <w:smallCaps w:val="false"/>
          <w:sz w:val="20"/>
        </w:rPr>
        <w:t xml:space="preserve"> </w:t>
      </w:r>
      <w:r>
        <w:rPr>
          <w:rFonts w:ascii="Times New Roman" w:hAnsi="Times New Roman"/>
          <w:b/>
          <w:caps w:val="false"/>
          <w:smallCaps w:val="false"/>
          <w:sz w:val="20"/>
        </w:rPr>
        <w:t>Market for Registrant's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common shares began trading on the NYSE, on April 16, 2010 under the symbol "CLDT".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Shareholder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31, 2025, there were 231 registered holders of record of our common shares. This figure does not include beneficial owners who hold shares in nominee name. However, because many of our common shares are held by brokers and other institutions, we believe that there are many more beneficial holders of our common shares than record holders. In order to comply with certain requirements related to our qualification as a REIT, our charter, subject to certain exceptions, limits the number of common shares that may be owned by any single person or affiliated group to 9.8% of our outstanding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below graph provides a comparison of the five-year cumulative total return on our common shares from December 31, 2020 to the NYSE closing price per share on December 31, 2025 with the cumulative total return on the Russell 2000 Index (the “Russell 2000”), the FTSE Nareit All Equity REITs Index (the “FTSE Nareit All Equity REITs”) and the FTSE Nareit Lodging/Resorts Index (the “FTSE Nareit Lodging”). The total return values were calculated assuming a $100 investment on December 31, 2020 with reinvestment of all dividends in (i) our common shares, (ii) the Russell 2000, (iii) the FTSE Nareit All Equity REITs and (iv) the FTSE Nareit Lodging. The total return values include any dividends paid during the period.</w:t>
      </w:r>
    </w:p>
    <w:p>
      <w:pPr>
        <w:pStyle w:val="TextBody"/>
        <w:bidi w:val="0"/>
        <w:spacing w:before="0" w:after="0"/>
        <w:ind w:left="0" w:right="0" w:hanging="0"/>
        <w:jc w:val="left"/>
        <w:rPr>
          <w:caps w:val="false"/>
          <w:smallCaps w:val="false"/>
        </w:rPr>
      </w:pPr>
      <w:r>
        <w:rPr>
          <w:caps w:val="false"/>
          <w:smallCaps w:val="false"/>
        </w:rPr>
        <w:t> </w:t>
      </w:r>
    </w:p>
    <w:tbl>
      <w:tblPr>
        <w:tblW w:w="7505" w:type="dxa"/>
        <w:jc w:val="left"/>
        <w:tblInd w:w="0" w:type="dxa"/>
        <w:tblLayout w:type="fixed"/>
        <w:tblCellMar>
          <w:top w:w="0" w:type="dxa"/>
          <w:left w:w="0" w:type="dxa"/>
          <w:bottom w:w="0" w:type="dxa"/>
          <w:right w:w="0" w:type="dxa"/>
        </w:tblCellMar>
      </w:tblPr>
      <w:tblGrid>
        <w:gridCol w:w="248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7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9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of initial investment at December 31,</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Chatham Lodging Trust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70.85</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Russell 2000</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134.40</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FTSE Nareit All Equity REITs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123.88</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FTSE Nareit Lodging</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8572500" cy="415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415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Distribution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order to maintain our qualification as a REIT, we must make distributions to our shareholders each year in an amount equal to at least: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 of our REIT taxable income determined without regard to the dividends paid deduction and excluding net capital gains; plus</w:t>
            </w:r>
          </w:p>
        </w:tc>
      </w:tr>
    </w:tbl>
    <w:tbl>
      <w:tblPr>
        <w:tblW w:w="9910" w:type="dxa"/>
        <w:jc w:val="left"/>
        <w:tblInd w:w="0" w:type="dxa"/>
        <w:tblLayout w:type="fixed"/>
        <w:tblCellMar>
          <w:top w:w="0" w:type="dxa"/>
          <w:left w:w="0" w:type="dxa"/>
          <w:bottom w:w="0" w:type="dxa"/>
          <w:right w:w="0" w:type="dxa"/>
        </w:tblCellMar>
      </w:tblPr>
      <w:tblGrid>
        <w:gridCol w:w="60"/>
        <w:gridCol w:w="110"/>
        <w:gridCol w:w="97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 of the excess of our net income from foreclosure property over the tax imposed on such income by the Code; minus</w:t>
            </w:r>
          </w:p>
        </w:tc>
      </w:tr>
    </w:tbl>
    <w:tbl>
      <w:tblPr>
        <w:tblW w:w="4510" w:type="dxa"/>
        <w:jc w:val="left"/>
        <w:tblInd w:w="0" w:type="dxa"/>
        <w:tblLayout w:type="fixed"/>
        <w:tblCellMar>
          <w:top w:w="0" w:type="dxa"/>
          <w:left w:w="0" w:type="dxa"/>
          <w:bottom w:w="0" w:type="dxa"/>
          <w:right w:w="0" w:type="dxa"/>
        </w:tblCellMar>
      </w:tblPr>
      <w:tblGrid>
        <w:gridCol w:w="60"/>
        <w:gridCol w:w="110"/>
        <w:gridCol w:w="43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excess non-cash income (as defined in the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Future distributions will be at the discretion of our Board of Trustees and will depend on our financial performance, debt service obligations, applicable debt covenants (if any), capital expenditure requirements, maintenance of our REIT qualification and other factors as our board of trustees deems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sets forth information regarding the income tax characterization of regular distributions by the Company on its shares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3005"/>
        <w:gridCol w:w="60"/>
        <w:gridCol w:w="125"/>
        <w:gridCol w:w="695"/>
        <w:gridCol w:w="60"/>
        <w:gridCol w:w="60"/>
        <w:gridCol w:w="60"/>
        <w:gridCol w:w="485"/>
        <w:gridCol w:w="215"/>
        <w:gridCol w:w="60"/>
        <w:gridCol w:w="125"/>
        <w:gridCol w:w="695"/>
        <w:gridCol w:w="60"/>
        <w:gridCol w:w="60"/>
        <w:gridCol w:w="60"/>
        <w:gridCol w:w="485"/>
        <w:gridCol w:w="215"/>
      </w:tblGrid>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Ordinary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0.32764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Unrecaptured Section 1250 gain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of capital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0.06432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2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A preferred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Ordinary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Unrecaptured Section 1250 gain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0.14888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of capital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1.65624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1.65624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provides information, as of December 31, 2025, relating to our Equity Incentive Plan pursuant to which grants of common share options, share awards, share appreciation rights, performance units, LTIP units and other equity-based awards options may be granted from time to time. See Note 11 to our consolidated financial statements for additional information regarding our Equity Incentive Plan.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3"/>
        <w:gridCol w:w="60"/>
        <w:gridCol w:w="423"/>
        <w:gridCol w:w="1729"/>
        <w:gridCol w:w="60"/>
        <w:gridCol w:w="60"/>
        <w:gridCol w:w="321"/>
        <w:gridCol w:w="1399"/>
        <w:gridCol w:w="60"/>
        <w:gridCol w:w="60"/>
        <w:gridCol w:w="117"/>
        <w:gridCol w:w="1590"/>
        <w:gridCol w:w="63"/>
      </w:tblGrid>
      <w:tr>
        <w:trPr/>
        <w:tc>
          <w:tcPr>
            <w:tcW w:w="4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7"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tc>
        <w:tc>
          <w:tcPr>
            <w:tcW w:w="63" w:type="dxa"/>
            <w:tcBorders/>
            <w:shd w:fill="FFFFFF" w:val="clear"/>
            <w:vAlign w:val="center"/>
          </w:tcPr>
          <w:p>
            <w:pPr>
              <w:pStyle w:val="TableContents"/>
              <w:bidi w:val="0"/>
              <w:spacing w:before="0" w:after="283"/>
              <w:jc w:val="left"/>
              <w:rPr/>
            </w:pPr>
            <w:r>
              <w:rPr/>
              <w:t> </w:t>
            </w:r>
          </w:p>
        </w:tc>
      </w:tr>
      <w:tr>
        <w:trPr/>
        <w:tc>
          <w:tcPr>
            <w:tcW w:w="4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2"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0"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7"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Remaining</w:t>
            </w:r>
          </w:p>
        </w:tc>
        <w:tc>
          <w:tcPr>
            <w:tcW w:w="63" w:type="dxa"/>
            <w:tcBorders/>
            <w:shd w:fill="FFFFFF" w:val="clear"/>
            <w:vAlign w:val="center"/>
          </w:tcPr>
          <w:p>
            <w:pPr>
              <w:pStyle w:val="TableContents"/>
              <w:bidi w:val="0"/>
              <w:spacing w:before="0" w:after="283"/>
              <w:jc w:val="left"/>
              <w:rPr/>
            </w:pPr>
            <w:r>
              <w:rPr/>
              <w:t> </w:t>
            </w:r>
          </w:p>
        </w:tc>
      </w:tr>
      <w:tr>
        <w:trPr/>
        <w:tc>
          <w:tcPr>
            <w:tcW w:w="4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2"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be Issued Upon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0"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7"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 for Future</w:t>
            </w:r>
          </w:p>
        </w:tc>
        <w:tc>
          <w:tcPr>
            <w:tcW w:w="63" w:type="dxa"/>
            <w:tcBorders/>
            <w:shd w:fill="FFFFFF" w:val="clear"/>
            <w:vAlign w:val="center"/>
          </w:tcPr>
          <w:p>
            <w:pPr>
              <w:pStyle w:val="TableContents"/>
              <w:bidi w:val="0"/>
              <w:spacing w:before="0" w:after="283"/>
              <w:jc w:val="left"/>
              <w:rPr/>
            </w:pPr>
            <w:r>
              <w:rPr/>
              <w:t> </w:t>
            </w:r>
          </w:p>
        </w:tc>
      </w:tr>
      <w:tr>
        <w:trPr/>
        <w:tc>
          <w:tcPr>
            <w:tcW w:w="4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2"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0"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7"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under Equity</w:t>
            </w:r>
          </w:p>
        </w:tc>
        <w:tc>
          <w:tcPr>
            <w:tcW w:w="63" w:type="dxa"/>
            <w:tcBorders/>
            <w:shd w:fill="FFFFFF" w:val="clear"/>
            <w:vAlign w:val="center"/>
          </w:tcPr>
          <w:p>
            <w:pPr>
              <w:pStyle w:val="TableContents"/>
              <w:bidi w:val="0"/>
              <w:spacing w:before="0" w:after="283"/>
              <w:jc w:val="left"/>
              <w:rPr/>
            </w:pPr>
            <w:r>
              <w:rPr/>
              <w:t> </w:t>
            </w:r>
          </w:p>
        </w:tc>
      </w:tr>
      <w:tr>
        <w:trPr/>
        <w:tc>
          <w:tcPr>
            <w:tcW w:w="4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Warrants and Rights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and Rights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Plans</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59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4263"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holders1</w:t>
            </w:r>
          </w:p>
        </w:tc>
        <w:tc>
          <w:tcPr>
            <w:tcW w:w="6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ind w:left="0" w:right="0" w:hanging="0"/>
              <w:jc w:val="left"/>
              <w:rPr/>
            </w:pPr>
            <w:r>
              <w:rPr/>
              <w:t> </w:t>
            </w:r>
          </w:p>
        </w:tc>
        <w:tc>
          <w:tcPr>
            <w:tcW w:w="17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39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2,271,462</w:t>
            </w:r>
          </w:p>
        </w:tc>
        <w:tc>
          <w:tcPr>
            <w:tcW w:w="63" w:type="dxa"/>
            <w:tcBorders/>
            <w:shd w:fill="CCEEFF" w:val="clear"/>
            <w:vAlign w:val="center"/>
          </w:tcPr>
          <w:p>
            <w:pPr>
              <w:pStyle w:val="TableContents"/>
              <w:bidi w:val="0"/>
              <w:spacing w:before="0" w:after="283"/>
              <w:jc w:val="left"/>
              <w:rPr/>
            </w:pPr>
            <w:r>
              <w:rPr/>
              <w:t> </w:t>
            </w:r>
          </w:p>
        </w:tc>
      </w:tr>
      <w:tr>
        <w:trPr/>
        <w:tc>
          <w:tcPr>
            <w:tcW w:w="42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4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4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2,271,462</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Our Equity Incentive Plan was approved by our company's sole trustee and our company's sole shareholder prior to completion of our IPO. The plan was amended on May 6, 2025 by our Board of Trustees to increase the maximum number of shares available under the plan to 6,750,000 shares. The amended and restated plan was approved by our shareholders at our 2025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Sale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May 2025, our Board of Trustees authorized and approved a $25.0 million share repurchase program of our common shares. Under this program, we may repurchase common shares through open market purchases or other privately negotiated transactions at times and in amounts as we deem appropriate. The program has no time limit and may be suspended or discontinued at any time. As of September 30, 2025, $23.0 million of common shares remained available for repurchase under this program. During the year ended December 31, 2025, the Company repurchased 1,313,795 common shares at a weighted-average price per share of $6.83 for an aggregate purchase price, including commissions, of approximately $9.0 million. As of December 31, 2025, there was approximately $16.0 million in common shares available for repurchase under the share repurchase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we provide employees who have been issued restricted common shares the option of forfeiting shares to us to satisfy the minimum statutory tax withholding requirements on the date their shares vest. During the year ended December 31, 2025, there were 532 common shares surrendered to the Company to satisfy tax withholding obligations associated with the vesting of restricted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summary of all share repurchases during the fourth quarter of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9"/>
        <w:gridCol w:w="60"/>
        <w:gridCol w:w="70"/>
        <w:gridCol w:w="997"/>
        <w:gridCol w:w="60"/>
        <w:gridCol w:w="60"/>
        <w:gridCol w:w="218"/>
        <w:gridCol w:w="665"/>
        <w:gridCol w:w="60"/>
        <w:gridCol w:w="60"/>
        <w:gridCol w:w="171"/>
        <w:gridCol w:w="2457"/>
        <w:gridCol w:w="60"/>
        <w:gridCol w:w="60"/>
        <w:gridCol w:w="583"/>
        <w:gridCol w:w="2760"/>
        <w:gridCol w:w="65"/>
      </w:tblGrid>
      <w:tr>
        <w:trPr/>
        <w:tc>
          <w:tcPr>
            <w:tcW w:w="179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vAlign w:val="center"/>
          </w:tcPr>
          <w:p>
            <w:pPr>
              <w:pStyle w:val="TableContents"/>
              <w:bidi w:val="0"/>
              <w:spacing w:before="0" w:after="283"/>
              <w:ind w:left="0" w:right="0" w:hanging="0"/>
              <w:jc w:val="left"/>
              <w:rPr/>
            </w:pPr>
            <w:r>
              <w:rPr/>
              <w:t> </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Price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2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 as Part of Publicly Announced Plans or Programs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43" w:type="dxa"/>
            <w:gridSpan w:val="2"/>
            <w:tcBorders/>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 Dollar Value of Shares that May Yet Be Purchased Under the Plans or Programs(1) (in thousands)</w:t>
            </w:r>
          </w:p>
        </w:tc>
        <w:tc>
          <w:tcPr>
            <w:tcW w:w="65" w:type="dxa"/>
            <w:tcBorders/>
            <w:vAlign w:val="center"/>
          </w:tcPr>
          <w:p>
            <w:pPr>
              <w:pStyle w:val="TableContents"/>
              <w:bidi w:val="0"/>
              <w:spacing w:before="0" w:after="283"/>
              <w:jc w:val="left"/>
              <w:rPr/>
            </w:pPr>
            <w:r>
              <w:rPr/>
              <w:t> </w:t>
            </w:r>
          </w:p>
        </w:tc>
      </w:tr>
      <w:tr>
        <w:trPr/>
        <w:tc>
          <w:tcPr>
            <w:tcW w:w="17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 2025 - October 31, 2025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24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60" w:type="dxa"/>
            <w:tcBorders/>
            <w:shd w:fill="CCEEFF" w:val="cle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17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 2025 - November 30, 2025</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24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60" w:type="dxa"/>
            <w:tcBorders/>
            <w:shd w:fill="FFFFFF" w:val="cle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r>
      <w:tr>
        <w:trPr/>
        <w:tc>
          <w:tcPr>
            <w:tcW w:w="17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1, 2025 - December 31, 2025</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5" w:type="dxa"/>
            <w:tcBorders/>
            <w:shd w:fill="CCEEFF" w:val="clear"/>
            <w:vAlign w:val="center"/>
          </w:tcPr>
          <w:p>
            <w:pPr>
              <w:pStyle w:val="TableContents"/>
              <w:bidi w:val="0"/>
              <w:spacing w:before="0" w:after="283"/>
              <w:jc w:val="left"/>
              <w:rPr/>
            </w:pPr>
            <w:r>
              <w:rPr/>
              <w:t> </w:t>
            </w:r>
          </w:p>
        </w:tc>
      </w:tr>
      <w:tr>
        <w:trPr/>
        <w:tc>
          <w:tcPr>
            <w:tcW w:w="17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16,033</w:t>
            </w:r>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Represents $16.0 million in common shares available for repurchase as of  December 31, 2025 under the $25.0 million share repurchase program. Under this program, we may repurchase common shares through open market purchases or other privately negotiated transactions at times and in amounts as we deem appropriate. The program has no time limit and may be suspended or discontinued at any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reserved"/>
      <w:bookmarkEnd w:id="13"/>
      <w:r>
        <w:rPr>
          <w:rFonts w:ascii="Times New Roman" w:hAnsi="Times New Roman"/>
          <w:b/>
          <w:caps w:val="false"/>
          <w:smallCaps w:val="false"/>
          <w:sz w:val="20"/>
        </w:rPr>
        <w:t xml:space="preserve">Item 6. [Reserved]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4" w:name="mda"/>
      <w:bookmarkEnd w:id="14"/>
      <w:r>
        <w:rPr>
          <w:rFonts w:ascii="Times New Roman" w:hAnsi="Times New Roman"/>
          <w:b/>
          <w:caps w:val="false"/>
          <w:smallCaps w:val="false"/>
          <w:sz w:val="20"/>
        </w:rPr>
        <w:t>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Chatham Lodging Trust (“we,” “us” or the “Company”) was formed as a Maryland real estate investment trust on October 26, 2009. The Company is internally managed and was organized to invest primarily in upscale extended-stay and premium-branded select-service hotels. The Company has elected to be taxed as a real estate investment trust for federal income tax purposes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had no operations prior to the consummation of its initial public offering ("IPO") in April 2010. The net proceeds from our share offerings are contributed to Chatham Lodging, L.P., our operating partnership (the “Operating Partnership”), in exchange for partnership interests. Substantially all of the Company’s assets are held by, and all operations are conducted through, the Operating Partnership. The Company is the sole general partner of the Operating Partnership and owns 100% of the common units of limited partnership interest in the Operating Partnership ("common units"). Certain of the Company’s executive officers hold vested and unvested long-term incentive plan units in the Operating Partnership ("LTIP units"), which are presented as non-controlling interests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2025, the Company owned 33 hotels with an aggregate of 5,021 rooms located in 15 states and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qualify as a REIT, the Company cannot operate its hotels. Therefore, the Operating Partnership and its subsidiaries lease the Company's hotels to taxable REIT subsidiary lessees (“TRS Lessees”), which are wholly owned by the Company’s taxable REIT subsidiary (“TRS”) holding company. Each hotel is leased to a TRS Lessee under a percentage lease that provides for rental payments equal to the greater of (i) a fixed base rent amount or (ii) a percentage rent based on hotel revenue. Lease revenue from each TRS Lessee is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TRS Lessees have entered into management agreements with third-party management companies that provide day-to-day management for the hotels. As of December 31, 2025, Island Hospitality Management Inc. (“IHM”), which is 100% owned by Jeffrey H. Fisher, the Company's Chairman, President and Chief Executive Officer, managed all of the Company’s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Key Indicators of Operating Performance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measure financial condition and hotel operating performance by evaluating non-financial and financial metrics and measures such as:</w:t>
      </w:r>
    </w:p>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110"/>
        <w:gridCol w:w="78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Daily Rate (“ADR”), which is the quotient of room revenue divided by total rooms sold,</w:t>
            </w:r>
          </w:p>
        </w:tc>
      </w:tr>
    </w:tbl>
    <w:tbl>
      <w:tblPr>
        <w:tblW w:w="7195" w:type="dxa"/>
        <w:jc w:val="left"/>
        <w:tblInd w:w="0" w:type="dxa"/>
        <w:tblLayout w:type="fixed"/>
        <w:tblCellMar>
          <w:top w:w="0" w:type="dxa"/>
          <w:left w:w="0" w:type="dxa"/>
          <w:bottom w:w="0" w:type="dxa"/>
          <w:right w:w="0" w:type="dxa"/>
        </w:tblCellMar>
      </w:tblPr>
      <w:tblGrid>
        <w:gridCol w:w="60"/>
        <w:gridCol w:w="110"/>
        <w:gridCol w:w="70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 which is the quotient of total rooms sold divided by total rooms available,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Per Available Room (“RevPAR”), which is the product of occupancy and ADR, and does not include food and beverage revenue, or other operating revenue,</w:t>
            </w:r>
          </w:p>
        </w:tc>
      </w:tr>
    </w:tbl>
    <w:tbl>
      <w:tblPr>
        <w:tblW w:w="2815" w:type="dxa"/>
        <w:jc w:val="left"/>
        <w:tblInd w:w="0" w:type="dxa"/>
        <w:tblLayout w:type="fixed"/>
        <w:tblCellMar>
          <w:top w:w="0" w:type="dxa"/>
          <w:left w:w="0" w:type="dxa"/>
          <w:bottom w:w="0" w:type="dxa"/>
          <w:right w:w="0" w:type="dxa"/>
        </w:tblCellMar>
      </w:tblPr>
      <w:tblGrid>
        <w:gridCol w:w="60"/>
        <w:gridCol w:w="110"/>
        <w:gridCol w:w="26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Funds From Operations (“FFO”),</w:t>
            </w:r>
          </w:p>
        </w:tc>
      </w:tr>
    </w:tbl>
    <w:tbl>
      <w:tblPr>
        <w:tblW w:w="1360" w:type="dxa"/>
        <w:jc w:val="left"/>
        <w:tblInd w:w="0" w:type="dxa"/>
        <w:tblLayout w:type="fixed"/>
        <w:tblCellMar>
          <w:top w:w="0" w:type="dxa"/>
          <w:left w:w="0" w:type="dxa"/>
          <w:bottom w:w="0" w:type="dxa"/>
          <w:right w:w="0" w:type="dxa"/>
        </w:tblCellMar>
      </w:tblPr>
      <w:tblGrid>
        <w:gridCol w:w="60"/>
        <w:gridCol w:w="110"/>
        <w:gridCol w:w="11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FFO,</w:t>
            </w:r>
          </w:p>
        </w:tc>
      </w:tr>
    </w:tbl>
    <w:tbl>
      <w:tblPr>
        <w:tblW w:w="6250" w:type="dxa"/>
        <w:jc w:val="left"/>
        <w:tblInd w:w="0" w:type="dxa"/>
        <w:tblLayout w:type="fixed"/>
        <w:tblCellMar>
          <w:top w:w="0" w:type="dxa"/>
          <w:left w:w="0" w:type="dxa"/>
          <w:bottom w:w="0" w:type="dxa"/>
          <w:right w:w="0" w:type="dxa"/>
        </w:tblCellMar>
      </w:tblPr>
      <w:tblGrid>
        <w:gridCol w:w="60"/>
        <w:gridCol w:w="110"/>
        <w:gridCol w:w="60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interest, taxes, depreciation and amortization (“EBITDA”),</w:t>
            </w:r>
          </w:p>
        </w:tc>
      </w:tr>
    </w:tbl>
    <w:tbl>
      <w:tblPr>
        <w:tblW w:w="1105" w:type="dxa"/>
        <w:jc w:val="left"/>
        <w:tblInd w:w="0" w:type="dxa"/>
        <w:tblLayout w:type="fixed"/>
        <w:tblCellMar>
          <w:top w:w="0" w:type="dxa"/>
          <w:left w:w="0" w:type="dxa"/>
          <w:bottom w:w="0" w:type="dxa"/>
          <w:right w:w="0" w:type="dxa"/>
        </w:tblCellMar>
      </w:tblPr>
      <w:tblGrid>
        <w:gridCol w:w="60"/>
        <w:gridCol w:w="110"/>
        <w:gridCol w:w="9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r>
              <w:rPr>
                <w:rFonts w:ascii="Times New Roman;Times;serif" w:hAnsi="Times New Roman;Times;serif"/>
                <w:i/>
                <w:caps w:val="false"/>
                <w:smallCaps w:val="false"/>
                <w:sz w:val="20"/>
              </w:rPr>
              <w:t>re</w:t>
            </w:r>
            <w:r>
              <w:rPr>
                <w:rFonts w:ascii="Times New Roman;Times;serif" w:hAnsi="Times New Roman;Times;serif"/>
                <w:caps w:val="false"/>
                <w:smallCaps w:val="false"/>
                <w:sz w:val="20"/>
              </w:rPr>
              <w:t>,</w:t>
            </w:r>
          </w:p>
        </w:tc>
      </w:tr>
    </w:tbl>
    <w:tbl>
      <w:tblPr>
        <w:tblW w:w="2065" w:type="dxa"/>
        <w:jc w:val="left"/>
        <w:tblInd w:w="0" w:type="dxa"/>
        <w:tblLayout w:type="fixed"/>
        <w:tblCellMar>
          <w:top w:w="0" w:type="dxa"/>
          <w:left w:w="0" w:type="dxa"/>
          <w:bottom w:w="0" w:type="dxa"/>
          <w:right w:w="0" w:type="dxa"/>
        </w:tblCellMar>
      </w:tblPr>
      <w:tblGrid>
        <w:gridCol w:w="60"/>
        <w:gridCol w:w="110"/>
        <w:gridCol w:w="18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and</w:t>
            </w:r>
          </w:p>
        </w:tc>
      </w:tr>
    </w:tbl>
    <w:tbl>
      <w:tblPr>
        <w:tblW w:w="2215" w:type="dxa"/>
        <w:jc w:val="left"/>
        <w:tblInd w:w="0" w:type="dxa"/>
        <w:tblLayout w:type="fixed"/>
        <w:tblCellMar>
          <w:top w:w="0" w:type="dxa"/>
          <w:left w:w="0" w:type="dxa"/>
          <w:bottom w:w="0" w:type="dxa"/>
          <w:right w:w="0" w:type="dxa"/>
        </w:tblCellMar>
      </w:tblPr>
      <w:tblGrid>
        <w:gridCol w:w="60"/>
        <w:gridCol w:w="110"/>
        <w:gridCol w:w="20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Hotel EBITDA.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evaluate the hotels in our portfolio and potential acquisitions using these metrics to determine each hotel’s contribution toward providing income to our shareholders through increases in distributable cash flow and increasing long-term total returns through appreciation in the value of our common shares. RevPAR, ADR and Occupancy are hotel industry measures commonly used to evaluate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See “Non-GAAP Financial Measures” for further discussion of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year ended December 31, 2025 to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section below provides a comparative discussion of our consolidated results of operations between fiscal year 2025 and 2024. See Item 7, "Management's Discussion and Analysis of Financial Condition and Results of Operations" in our Annual Report on Form 10-K for the fiscal year ended December 31, 2024 for comparative a discussion of our consolidated results of operations between fiscal 2024 and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Results of operations for the year ended December 31, 2025 include the operating activities of the hotels we owned during the period. We sold one hotel located in Denver, CO on January 9, 2024, one hotel located in Maitland, FL on December 6, 2024, one hotel located in Bloomington, MN on December 16, 2024, one hotel located in Brentwood, TN on January 30, 2025, one hotel located in Houston, TX on March 17, 2025, one hotel located in Houston, TX on April 22, 2025, and one hotel located in Billerica, MA on December 23, 2025. We acquired one hotel located in Phoenix, AZ on May 30, 2024. The changes in results described below were driven primarily by the sales of seven hotels, the acquisition of one hotel and inflationary cost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Revenue, which consists primarily of room, food and beverage and other operating revenues from our hotels, was as follows for the periods indicated (dollars in thousands):</w:t>
      </w:r>
    </w:p>
    <w:p>
      <w:pPr>
        <w:pStyle w:val="TextBody"/>
        <w:bidi w:val="0"/>
        <w:spacing w:before="0" w:after="0"/>
        <w:ind w:left="0" w:right="0" w:hanging="0"/>
        <w:jc w:val="left"/>
        <w:rPr>
          <w:caps w:val="false"/>
          <w:smallCaps w:val="false"/>
        </w:rPr>
      </w:pPr>
      <w:r>
        <w:rPr>
          <w:caps w:val="false"/>
          <w:smallCaps w:val="false"/>
        </w:rPr>
        <w:t> </w:t>
      </w:r>
    </w:p>
    <w:tbl>
      <w:tblPr>
        <w:tblW w:w="8078" w:type="dxa"/>
        <w:jc w:val="left"/>
        <w:tblInd w:w="0" w:type="dxa"/>
        <w:tblLayout w:type="fixed"/>
        <w:tblCellMar>
          <w:top w:w="0" w:type="dxa"/>
          <w:left w:w="0" w:type="dxa"/>
          <w:bottom w:w="0" w:type="dxa"/>
          <w:right w:w="0" w:type="dxa"/>
        </w:tblCellMar>
      </w:tblPr>
      <w:tblGrid>
        <w:gridCol w:w="3335"/>
        <w:gridCol w:w="60"/>
        <w:gridCol w:w="249"/>
        <w:gridCol w:w="1390"/>
        <w:gridCol w:w="60"/>
        <w:gridCol w:w="60"/>
        <w:gridCol w:w="249"/>
        <w:gridCol w:w="1390"/>
        <w:gridCol w:w="60"/>
        <w:gridCol w:w="60"/>
        <w:gridCol w:w="108"/>
        <w:gridCol w:w="797"/>
        <w:gridCol w:w="26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reimbursements from related parties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317,209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revenue decreased $22.1 million to $295.1 million for the year ended December 31, 2025 compared to total revenue of $317.2 million for the 2024 period. The decrease in total revenue primarily was related to the decrease in revenue from the sales of seven hotels that contributed $8.9 million in revenue for the year ended December 31, 2025, down $24.6 million from the $33.5 million that the sold hotels contributed for the corresponding 2024 period. Same property RevPAR also decreased by 0.1%. This was partially offset by the increase in revenue from the acquisition of one hotel that contributed $8.6 million of revenue during the year ended December 31, 2025, up $4.9 million from the $3.7 million that the acquired hotel contributed for the corresponding 2024 period. Since all of our hotels are select-service or limited-service hotels, room revenue is the primary revenue source as these hotels do not have significant food and beverage revenue or large group conference facilities. Room revenue comprised 91.2% and 91.5% of total revenue for the years ended December 31, 2025 and 2024, respectively. Room revenue was $269.2 million and $290.3 million for the years ended December 31, 2025 and 2024, respectively, and the decrease in room revenue primarily was related to the same factors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Food and beverage revenue was $6.9 million and $7.7 million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revenue, comprised of parking, meeting room, gift shop, in-room movie and other ancillary amenities revenue, decreased $0.2 million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Reimbursed costs from related parties were $1.1 million and $1.1 million for the years ended December 31, 2025 and 2024, respectively. The cost reimbursements were offset by the reimbursed costs from related parties included in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reported by Smith Travel Research, U.S. lodging industry RevPAR for the years ended December 31, 2025 and 2024 decreased 0.3% and increased 1.8%, respectively, as compared to the years ended December 31, 2024 and 2023. Smith Travel Research reported that U.S. lodging industry RevPAR increased 2.2% in the first quarter of 2025, decreased 0.5% in the second quarter of 2025, decreased 1.4% in the third quarter of 2025 and decreased 1.1% in the fourth quarter of 2025. Smith Travel Research currently projects industry RevPAR growth of 0.6%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table below, we present both actual and same property room revenue metrics. Actual Occupancy, ADR and RevPAR metrics reflect the performance of the hotels for the actual days such hotels were owned by the Company during the periods presented. Same property Occupancy, ADR, and RevPAR reflect results for the hotels owned by the Company as of December 31, 2025 that have been in operation for a full year regardless of our ownership during the period presented, which is a non-GAAP financial measure. Results for the hotels for the periods prior to our ownership were provided to us by prior owners and have not been adjusted by us.</w:t>
      </w:r>
    </w:p>
    <w:p>
      <w:pPr>
        <w:pStyle w:val="TextBody"/>
        <w:bidi w:val="0"/>
        <w:spacing w:before="0" w:after="0"/>
        <w:ind w:left="0" w:right="0" w:hanging="0"/>
        <w:jc w:val="left"/>
        <w:rPr>
          <w:caps w:val="false"/>
          <w:smallCaps w:val="false"/>
        </w:rPr>
      </w:pPr>
      <w:r>
        <w:rPr>
          <w:caps w:val="false"/>
          <w:smallCaps w:val="false"/>
        </w:rPr>
        <w:t> </w:t>
      </w:r>
    </w:p>
    <w:tbl>
      <w:tblPr>
        <w:tblW w:w="9314" w:type="dxa"/>
        <w:jc w:val="left"/>
        <w:tblInd w:w="0" w:type="dxa"/>
        <w:tblLayout w:type="fixed"/>
        <w:tblCellMar>
          <w:top w:w="0" w:type="dxa"/>
          <w:left w:w="0" w:type="dxa"/>
          <w:bottom w:w="0" w:type="dxa"/>
          <w:right w:w="0" w:type="dxa"/>
        </w:tblCellMar>
      </w:tblPr>
      <w:tblGrid>
        <w:gridCol w:w="950"/>
        <w:gridCol w:w="60"/>
        <w:gridCol w:w="226"/>
        <w:gridCol w:w="1068"/>
        <w:gridCol w:w="185"/>
        <w:gridCol w:w="60"/>
        <w:gridCol w:w="155"/>
        <w:gridCol w:w="734"/>
        <w:gridCol w:w="185"/>
        <w:gridCol w:w="60"/>
        <w:gridCol w:w="226"/>
        <w:gridCol w:w="1068"/>
        <w:gridCol w:w="185"/>
        <w:gridCol w:w="60"/>
        <w:gridCol w:w="155"/>
        <w:gridCol w:w="734"/>
        <w:gridCol w:w="185"/>
        <w:gridCol w:w="60"/>
        <w:gridCol w:w="196"/>
        <w:gridCol w:w="1098"/>
        <w:gridCol w:w="245"/>
        <w:gridCol w:w="60"/>
        <w:gridCol w:w="205"/>
        <w:gridCol w:w="954"/>
        <w:gridCol w:w="200"/>
      </w:tblGrid>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0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Same Property</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Same Property</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Same Property</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w:t>
            </w:r>
          </w:p>
        </w:tc>
        <w:tc>
          <w:tcPr>
            <w:tcW w:w="20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(33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(37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(33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(40 hotels)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(33 hotels)</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(37/40 hotels)</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ADR</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RevPAR</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year ended December 31, 2025, same property RevPAR decreased 0.1% due to an increase in occupancy of 0.5% and a decrease in ADR of 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Hotel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Hotel operating expenses consisted of the following for the periods indicated (dollars in thousands):</w:t>
      </w:r>
    </w:p>
    <w:p>
      <w:pPr>
        <w:pStyle w:val="TextBody"/>
        <w:bidi w:val="0"/>
        <w:spacing w:before="0" w:after="0"/>
        <w:ind w:left="0" w:right="0" w:hanging="0"/>
        <w:jc w:val="left"/>
        <w:rPr>
          <w:caps w:val="false"/>
          <w:smallCaps w:val="false"/>
        </w:rPr>
      </w:pPr>
      <w:r>
        <w:rPr>
          <w:caps w:val="false"/>
          <w:smallCaps w:val="false"/>
        </w:rPr>
        <w:t> </w:t>
      </w:r>
    </w:p>
    <w:tbl>
      <w:tblPr>
        <w:tblW w:w="7973" w:type="dxa"/>
        <w:jc w:val="left"/>
        <w:tblInd w:w="0" w:type="dxa"/>
        <w:tblLayout w:type="fixed"/>
        <w:tblCellMar>
          <w:top w:w="0" w:type="dxa"/>
          <w:left w:w="0" w:type="dxa"/>
          <w:bottom w:w="0" w:type="dxa"/>
          <w:right w:w="0" w:type="dxa"/>
        </w:tblCellMar>
      </w:tblPr>
      <w:tblGrid>
        <w:gridCol w:w="3245"/>
        <w:gridCol w:w="60"/>
        <w:gridCol w:w="249"/>
        <w:gridCol w:w="1390"/>
        <w:gridCol w:w="60"/>
        <w:gridCol w:w="60"/>
        <w:gridCol w:w="249"/>
        <w:gridCol w:w="1390"/>
        <w:gridCol w:w="60"/>
        <w:gridCol w:w="60"/>
        <w:gridCol w:w="108"/>
        <w:gridCol w:w="797"/>
        <w:gridCol w:w="245"/>
      </w:tblGrid>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 operating expenses: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 expense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 expense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and marketing fees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and promotions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Utilities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Repairs and maintenance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fees paid to related parties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hotel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169,173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181,176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Hotel operating expenses decreased $12.0 million, or 6.6%, to $169.2 million for the year ended December 31, 2025 from $181.2 million for the year ended December 31, 2024. The seven sold hotels contributed $6.0 million in operating expenses for the year ended December 31, 2025, down $15.9 million from the $21.9 million that the sold hotels contributed for the corresponding 2024 period. This was partially offset by the increase in operating expenses from the acquisition of one hotel that contributed $4.5 million in operating expenses for the year ended December 31, 2025, up $2.3 million from the $2.2 million that the acquired hotel contributed for the corresponding 2024 period. The remaining change in operating expenses was related to inflationary cost pressures.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Room expenses, which are the most significant component of hotel operating expenses, decreased $5.5 million from $65.3 million in 2024 to $59.8 million in 2025. The decrease in room expenses was related primarily to the decrease in costs from the sales of seven hotels, partially offset by the increase in costs from the acquisition of one hotel and an increase in costs related to an increase in same property occupancies at our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remaining hotel operating expenses decreased $6.5 million, or 5.6%, from $115.9 million in 2024 to $109.4 million in 2025. The decrease in the remaining operating expenses was related primarily to the decrease in costs from the sales of seven hotels, partially offset by the increase in costs from the acquisition of one hotel and an increase in costs related to inflationary cost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 decreased $1.0 million from $60.7 million for the year ended December 31, 2024 to $59.7 million for the year ended December 31, 2025. Depreciation is generally recorded on our assets over 40 years for buildings, 20 years for land improvements, 15 years for building improvements and one to ten years for hotel furniture, fixtures and equipment from the date of acquisition on a straight-line basis. Depreciable lives of hotel furniture, fixtures and equipment are generally assumed to be the difference between the date of acquisition and the date that the furniture, fixtures and equipment will be replaced. Amortization of franchise fees is recorded on a straight-line basis over the term of the respective franchise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Impairment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Impairment loss was zero and $4.3 million for the years ended December 31, 2025 and 2024, respectively. The impairment loss in 2024 was due to the impairment recorded on the CY Houston hotel property which was sold on April 22,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Property Taxes, Ground Rent and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property taxes, ground rent and insurance expenses decreased $1.7 million from $23.7 million for the year ended December 31, 2024 to $22.0 million for the year ended December 31, 2025. The decrease was primarily related to the sales of seven hotels partially offset by increases in property tax assessments.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principally consist of employee-related costs, including base payroll, bonuses and amortization of restricted stock and awards of LTIP units. These expenses also include corporate operating costs, professional fees and trustees’ fees. Total general and administrative expenses (excluding amortization of stock based compensation of $6.3 million and $6.4 million for the years ended December 31, 2025 and 2024, respectively) decreased $1.7 million to $10.3 million in 2025 from $12.0 million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charges decreased from $0.3 million for the year ended December 31, 2024 to $27 thousand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Reimbursable Costs from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Reimbursable costs from related parties, comprised of shared office expenses and rent, were $1.1 million and $1.1 million for the years ended December 31, 2025 and 2024, respectively. The cost reimbursements were offset by the cost reimbursements from related parties included in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Gain on Sale of Hotel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Gain on the sale of hotel properties increased $8.7 million to $14.4 million for the year ended December 31, 2025 compared to $5.7 million for the year ended December 31, 2024. The HWS Brentwood hotel property was sold on January 30, 2025, the HI Houston hotel property was sold on March 17, 2025, the CY Houston hotel property was sold on April 22, 2025, and the HWS Billerica hotel property was sold on December 23, 2025, which resulted in a total gain of $14.4 million. The HGI Denver Tech hotel property was sold on January 9, 2024, the HWS Maitland hotel property was sold on December 6, 2024, and the HWS Bloomington hotel property was sold on December 16, 2024, which resulted in a total gain of $5.7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on cash and cash equivalents and other income decreased $1.4 million from $1.7 million for the year ended December 31, 2024 to $0.3 million for the year ended December 31, 2025. The decrease was due to lower cash balances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Expense, Including Amortization of Deferred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decreased $5.2 million, or 16.9%, from $30.9 million for the year ended December 31, 2024 to $25.7 million for the year ended December 31, 2025. Interest expense is comprised of the following (dollars in thousands):</w:t>
      </w:r>
    </w:p>
    <w:p>
      <w:pPr>
        <w:pStyle w:val="TextBody"/>
        <w:bidi w:val="0"/>
        <w:spacing w:before="0" w:after="0"/>
        <w:ind w:left="0" w:right="0" w:hanging="0"/>
        <w:jc w:val="left"/>
        <w:rPr>
          <w:caps w:val="false"/>
          <w:smallCaps w:val="false"/>
        </w:rPr>
      </w:pPr>
      <w:r>
        <w:rPr>
          <w:caps w:val="false"/>
          <w:smallCaps w:val="false"/>
        </w:rPr>
        <w:t> </w:t>
      </w:r>
    </w:p>
    <w:tbl>
      <w:tblPr>
        <w:tblW w:w="9057" w:type="dxa"/>
        <w:jc w:val="left"/>
        <w:tblInd w:w="0" w:type="dxa"/>
        <w:tblLayout w:type="fixed"/>
        <w:tblCellMar>
          <w:top w:w="0" w:type="dxa"/>
          <w:left w:w="0" w:type="dxa"/>
          <w:bottom w:w="0" w:type="dxa"/>
          <w:right w:w="0" w:type="dxa"/>
        </w:tblCellMar>
      </w:tblPr>
      <w:tblGrid>
        <w:gridCol w:w="4295"/>
        <w:gridCol w:w="60"/>
        <w:gridCol w:w="284"/>
        <w:gridCol w:w="1355"/>
        <w:gridCol w:w="62"/>
        <w:gridCol w:w="62"/>
        <w:gridCol w:w="284"/>
        <w:gridCol w:w="1355"/>
        <w:gridCol w:w="60"/>
        <w:gridCol w:w="60"/>
        <w:gridCol w:w="108"/>
        <w:gridCol w:w="797"/>
        <w:gridCol w:w="275"/>
      </w:tblGrid>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debt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facility and term loan interest and unused fees</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finance lease liability</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7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25,659</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30,880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(16.9</w:t>
            </w:r>
          </w:p>
        </w:tc>
        <w:tc>
          <w:tcPr>
            <w:tcW w:w="2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decrease in interest expense was due to lower debt balances and lower floating rate borrowing costs during the year ended December 31, 2025 than during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Loss on Early Extinguishment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 on early extinguishment of debt increased $0.2 million from $17 thousand for the year ended December 31, 2024 to $0.2 million for the year ended December 31, 2025. The loss in 2025 was related to the Company entering into a new unsecured revolving credit facility and the write-off of unamortized deferred financing fees from the prior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tax expense remained unchanged at zero for the years ended December 31, 2025 and 2024. We are subject to income taxes based on the taxable income of our TRS Lessees at a combined federal and state tax rate of approximately 25%. The Company's TRS is expecting the taxable income in 2025 to be offset by prior year net operating losses and recognizes a full valuation allowance equal to 100% of the net deferred tax assets due to the uncertainty of the TRS's ability to utilize these net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income was $15.3 million for the year ended December 31, 2025, compared to net income of $4.0 million for the year ended December 31, 2024. The change in net income primarily was due to the factors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Material Trends or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not aware of any material trends or uncertainties, favorable or unfavorable, that may be reasonably anticipated to have a material impact on either the capital resources or the revenues or income to be derived from the acquisition and operation of properties, loans and other permitted investments, other than those referred to in this section and the risk factors identified in the “Risk Factors” section of this Annual Report on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consider the following non-GAAP financial measures useful to investors as key supplemental measures of our operating performance: (1) FFO, (2) Adjusted FFO, (3) EBITDA, (4) EBITDA</w:t>
      </w:r>
      <w:r>
        <w:rPr>
          <w:rFonts w:ascii="Times New Roman" w:hAnsi="Times New Roman"/>
          <w:i/>
          <w:caps w:val="false"/>
          <w:smallCaps w:val="false"/>
          <w:sz w:val="20"/>
        </w:rPr>
        <w:t>re</w:t>
      </w:r>
      <w:r>
        <w:rPr>
          <w:rFonts w:ascii="Times New Roman" w:hAnsi="Times New Roman"/>
          <w:caps w:val="false"/>
          <w:smallCaps w:val="false"/>
          <w:sz w:val="20"/>
        </w:rPr>
        <w:t>, (5) Adjusted EBITDA and (6) Adjusted Hotel EBITDA. These non-GAAP financial measures should be considered along with, but not as alternatives to, net income or loss as prescribed by GAAP as a measure of our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do not represent cash generated from operating activities under GAAP and should not be considered as alternatives to net income or loss, cash flows from operations or any other operating performance measure prescribed by GAAP.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are not measures of our liquidity, nor are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or Adjusted Hotel EBITDA indicative of funds available to fund our cash needs, including our ability to make cash distributions. These measurements do not reflect cash expenditures for long-term assets and other items that have been and will be incurred.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may include funds that may not be available for management’s discretionary use due to functional requirements to conserve funds for capital expenditures, property acquisitions, and other commitments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calculate FFO in accordance with standards established by Nareit, which defines FFO as net income or loss (calculated in accordance with GAAP), excluding gains or losses from sales of real estate, impairment write-downs, the cumulative effect of changes in accounting principles, plus depreciation and amortization (excluding amortization of deferred financing costs), and after adjustments for unconsolidated partnerships and joint ventures following the same approach. We believe that the presentation of FFO provides useful information to investors regarding our operating performance because it measures our performance without regard to specified non-cash items such as real estate depreciation and amortization, gain or loss on sale of real estate assets and certain other items that we believe are not indicative of the property level performance of our hotel properties. We believe that these items reflect historical cost of our asset base and our acquisition and disposition activities and are less reflective of our ongoing operations, and that by adjusting to exclude the effects of the items, FFO is useful to investors in comparing our operating performance between periods and between REITs that report FFO using the Nareit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calculate Adjusted FFO by further adjusting FFO for certain additional items that are not addressed in Nareit’s definition of FFO, including other charges, losses on the early extinguishment of debt and similar items related to our unconsolidated real estate entities that we believe do not represent costs related to hotel operations. We believe that Adjusted FFO provides investors with another financial measure that may facilitate comparisons of operating performance between periods and between REITs that make similar adjustments to FFO.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reconciliation of net income (loss) to FFO and Adjusted FFO for the years ended December 31, 2025, 2024 and 2023 (in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9110" w:type="dxa"/>
        <w:jc w:val="left"/>
        <w:tblInd w:w="0" w:type="dxa"/>
        <w:tblLayout w:type="fixed"/>
        <w:tblCellMar>
          <w:top w:w="0" w:type="dxa"/>
          <w:left w:w="0" w:type="dxa"/>
          <w:bottom w:w="0" w:type="dxa"/>
          <w:right w:w="0" w:type="dxa"/>
        </w:tblCellMar>
      </w:tblPr>
      <w:tblGrid>
        <w:gridCol w:w="5465"/>
        <w:gridCol w:w="60"/>
        <w:gridCol w:w="125"/>
        <w:gridCol w:w="950"/>
        <w:gridCol w:w="80"/>
        <w:gridCol w:w="60"/>
        <w:gridCol w:w="125"/>
        <w:gridCol w:w="950"/>
        <w:gridCol w:w="80"/>
        <w:gridCol w:w="60"/>
        <w:gridCol w:w="125"/>
        <w:gridCol w:w="950"/>
        <w:gridCol w:w="80"/>
      </w:tblGrid>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5"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Funds From Operations (“FFO”):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dividends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shares and common units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hotel properties owned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58,040</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FFO attributed to common share and unit 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56,826</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finance lease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early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8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partial lease termination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FFO attributed to common share and unit 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52,746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55,495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59,658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and units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50,522,421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50,757,548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50,374,481</w:t>
            </w:r>
          </w:p>
        </w:tc>
        <w:tc>
          <w:tcPr>
            <w:tcW w:w="8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51,721,473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51,172,183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50,532,122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Diluted weighted average common share count used for calculation of adjusted FFO per share may differ from diluted weighted average common share count used for calculation of GAAP Net Income per share by LTIP units, which may be converted to common shares of beneficial interest, and if Net Income per share is negative and Adjusted FFO is positive. Unvested restricted shares and unvested LTIP units that could potentially dilute basic earnings per share in the future would not be included in the computation of diluted loss per share for the periods where a loss has been recorded because they would have been anti-dilutive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EBITDA is defined as net income or loss excluding: (1) interest expense; (2) provision for income taxes, including income taxes applicable to sale of assets; (3) depreciation and amortization; and (4) unconsolidated real estate entity items including interest, depreciation and amortization excluding gains and losses from sales of real estate. We consider EBITDA useful to an investor in evaluating and facilitating comparisons of our operating performance between periods and between REITs by removing the impact of our capital structure (primarily interest expense) and asset base (primarily depreciation and amortization) from our operating results. In addition, EBITDA is used as one measure in determining the value of hotel acquisitions and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EBITDA, we present EBITDA</w:t>
      </w:r>
      <w:r>
        <w:rPr>
          <w:rFonts w:ascii="Times New Roman" w:hAnsi="Times New Roman"/>
          <w:i/>
          <w:caps w:val="false"/>
          <w:smallCaps w:val="false"/>
          <w:sz w:val="20"/>
        </w:rPr>
        <w:t xml:space="preserve">re </w:t>
      </w:r>
      <w:r>
        <w:rPr>
          <w:rFonts w:ascii="Times New Roman" w:hAnsi="Times New Roman"/>
          <w:caps w:val="false"/>
          <w:smallCaps w:val="false"/>
          <w:sz w:val="20"/>
        </w:rPr>
        <w:t>in accordance with Nareit guidelines, which defines EBITDA</w:t>
      </w:r>
      <w:r>
        <w:rPr>
          <w:rFonts w:ascii="Times New Roman" w:hAnsi="Times New Roman"/>
          <w:i/>
          <w:caps w:val="false"/>
          <w:smallCaps w:val="false"/>
          <w:sz w:val="20"/>
        </w:rPr>
        <w:t>re</w:t>
      </w:r>
      <w:r>
        <w:rPr>
          <w:rFonts w:ascii="Times New Roman" w:hAnsi="Times New Roman"/>
          <w:caps w:val="false"/>
          <w:smallCaps w:val="false"/>
          <w:sz w:val="20"/>
        </w:rPr>
        <w:t xml:space="preserve"> as net income or loss excluding interest expense, income tax expense, depreciation and amortization expense, gains or losses from sales of real estate, impairment, and adjustments for unconsolidated joint ventures. We believe that the presentation of EBITDA</w:t>
      </w:r>
      <w:r>
        <w:rPr>
          <w:rFonts w:ascii="Times New Roman" w:hAnsi="Times New Roman"/>
          <w:i/>
          <w:caps w:val="false"/>
          <w:smallCaps w:val="false"/>
          <w:sz w:val="20"/>
        </w:rPr>
        <w:t>re</w:t>
      </w:r>
      <w:r>
        <w:rPr>
          <w:rFonts w:ascii="Times New Roman" w:hAnsi="Times New Roman"/>
          <w:caps w:val="false"/>
          <w:smallCaps w:val="false"/>
          <w:sz w:val="20"/>
        </w:rPr>
        <w:t xml:space="preserve"> provides useful information to investors regarding the Company's operating performance and can facilitate comparison of operating performance between periods and between REITs.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present Adjusted EBITDA which includes additional adjustments for items such as other charges, gains or losses on extinguishment of indebtedness, amortization of share-based compensation and certain other expenses that we consider outside the normal course of operations. We believe that Adjusted EBITDA provides useful supplemental information to investors regarding our ongoing operating performance that, when considered with net income, EBITDA and EBITDA</w:t>
      </w:r>
      <w:r>
        <w:rPr>
          <w:rFonts w:ascii="Times New Roman" w:hAnsi="Times New Roman"/>
          <w:i/>
          <w:caps w:val="false"/>
          <w:smallCaps w:val="false"/>
          <w:sz w:val="20"/>
        </w:rPr>
        <w:t>re</w:t>
      </w:r>
      <w:r>
        <w:rPr>
          <w:rFonts w:ascii="Times New Roman" w:hAnsi="Times New Roman"/>
          <w:caps w:val="false"/>
          <w:smallCaps w:val="false"/>
          <w:sz w:val="20"/>
        </w:rPr>
        <w:t>, is beneficial to an investor's understanding of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reconciliation of net income (loss) to EBITDA, EBITDA</w:t>
      </w:r>
      <w:r>
        <w:rPr>
          <w:rFonts w:ascii="Times New Roman" w:hAnsi="Times New Roman"/>
          <w:i/>
          <w:caps w:val="false"/>
          <w:smallCaps w:val="false"/>
          <w:sz w:val="20"/>
        </w:rPr>
        <w:t xml:space="preserve">re </w:t>
      </w:r>
      <w:r>
        <w:rPr>
          <w:rFonts w:ascii="Times New Roman" w:hAnsi="Times New Roman"/>
          <w:caps w:val="false"/>
          <w:smallCaps w:val="false"/>
          <w:sz w:val="20"/>
        </w:rPr>
        <w:t>and Adjusted EBITDA for the years ended December 31, 2025, 2024 and 2023 (in thousands):</w:t>
      </w:r>
    </w:p>
    <w:p>
      <w:pPr>
        <w:pStyle w:val="TextBody"/>
        <w:bidi w:val="0"/>
        <w:spacing w:before="0" w:after="0"/>
        <w:ind w:left="0" w:right="0" w:hanging="0"/>
        <w:jc w:val="left"/>
        <w:rPr>
          <w:caps w:val="false"/>
          <w:smallCaps w:val="false"/>
        </w:rPr>
      </w:pPr>
      <w:r>
        <w:rPr>
          <w:caps w:val="false"/>
          <w:smallCaps w:val="false"/>
        </w:rPr>
        <w:t> </w:t>
      </w:r>
    </w:p>
    <w:tbl>
      <w:tblPr>
        <w:tblW w:w="9140" w:type="dxa"/>
        <w:jc w:val="left"/>
        <w:tblInd w:w="0" w:type="dxa"/>
        <w:tblLayout w:type="fixed"/>
        <w:tblCellMar>
          <w:top w:w="0" w:type="dxa"/>
          <w:left w:w="0" w:type="dxa"/>
          <w:bottom w:w="0" w:type="dxa"/>
          <w:right w:w="0" w:type="dxa"/>
        </w:tblCellMar>
      </w:tblPr>
      <w:tblGrid>
        <w:gridCol w:w="6260"/>
        <w:gridCol w:w="60"/>
        <w:gridCol w:w="125"/>
        <w:gridCol w:w="695"/>
        <w:gridCol w:w="80"/>
        <w:gridCol w:w="60"/>
        <w:gridCol w:w="125"/>
        <w:gridCol w:w="695"/>
        <w:gridCol w:w="80"/>
        <w:gridCol w:w="60"/>
        <w:gridCol w:w="125"/>
        <w:gridCol w:w="695"/>
        <w:gridCol w:w="80"/>
      </w:tblGrid>
      <w:tr>
        <w:trPr/>
        <w:tc>
          <w:tcPr>
            <w:tcW w:w="6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w:t>
            </w:r>
          </w:p>
        </w:tc>
        <w:tc>
          <w:tcPr>
            <w:tcW w:w="80" w:type="dxa"/>
            <w:tcBorders/>
            <w:shd w:fill="FFFF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Interest, Taxes, Depreciation and Amortization (“EBITDA”):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w:t>
            </w:r>
          </w:p>
        </w:tc>
        <w:tc>
          <w:tcPr>
            <w:tcW w:w="8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deferred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27,128</w:t>
            </w:r>
          </w:p>
        </w:tc>
        <w:tc>
          <w:tcPr>
            <w:tcW w:w="8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87,870</w:t>
            </w:r>
          </w:p>
        </w:tc>
        <w:tc>
          <w:tcPr>
            <w:tcW w:w="8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4,266</w:t>
            </w:r>
          </w:p>
        </w:tc>
        <w:tc>
          <w:tcPr>
            <w:tcW w:w="8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92,118</w:t>
            </w:r>
          </w:p>
        </w:tc>
        <w:tc>
          <w:tcPr>
            <w:tcW w:w="8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8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early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8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partial lease termination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92,809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100,941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101,067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Hotel EBITDA is defined as net income before interest, income taxes, depreciation and amortization, corporate general and administrative, impairment loss, loss on early extinguishment of debt, other charges, interest and other income, losses on sales of hotel properties and income or loss from unconsolidated real estate entities. We present Adjusted Hotel EBITDA because we believe it is useful to investors in comparing our hotel operating performance between periods and comparing our Adjusted Hotel EBITDA margins to those of our peer companies. Adjusted Hotel EBITDA represents the results of operations for our wholly owned hotels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presentation of Adjusted Hotel EBITDA for the years ended December 31, 2025, 2024 and 2023 (in thousands):</w:t>
      </w:r>
    </w:p>
    <w:p>
      <w:pPr>
        <w:pStyle w:val="TextBody"/>
        <w:bidi w:val="0"/>
        <w:spacing w:before="0" w:after="0"/>
        <w:ind w:left="0" w:right="0" w:hanging="0"/>
        <w:jc w:val="left"/>
        <w:rPr>
          <w:caps w:val="false"/>
          <w:smallCaps w:val="false"/>
        </w:rPr>
      </w:pPr>
      <w:r>
        <w:rPr>
          <w:caps w:val="false"/>
          <w:smallCaps w:val="false"/>
        </w:rPr>
        <w:t> </w:t>
      </w:r>
    </w:p>
    <w:tbl>
      <w:tblPr>
        <w:tblW w:w="7895" w:type="dxa"/>
        <w:jc w:val="left"/>
        <w:tblInd w:w="0" w:type="dxa"/>
        <w:tblLayout w:type="fixed"/>
        <w:tblCellMar>
          <w:top w:w="0" w:type="dxa"/>
          <w:left w:w="0" w:type="dxa"/>
          <w:bottom w:w="0" w:type="dxa"/>
          <w:right w:w="0" w:type="dxa"/>
        </w:tblCellMar>
      </w:tblPr>
      <w:tblGrid>
        <w:gridCol w:w="5015"/>
        <w:gridCol w:w="60"/>
        <w:gridCol w:w="125"/>
        <w:gridCol w:w="695"/>
        <w:gridCol w:w="80"/>
        <w:gridCol w:w="60"/>
        <w:gridCol w:w="125"/>
        <w:gridCol w:w="695"/>
        <w:gridCol w:w="80"/>
        <w:gridCol w:w="60"/>
        <w:gridCol w:w="125"/>
        <w:gridCol w:w="695"/>
        <w:gridCol w:w="80"/>
      </w:tblGrid>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w:t>
            </w:r>
          </w:p>
        </w:tc>
        <w:tc>
          <w:tcPr>
            <w:tcW w:w="80" w:type="dxa"/>
            <w:tcBorders/>
            <w:shd w:fill="FFFF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w:t>
            </w:r>
          </w:p>
        </w:tc>
        <w:tc>
          <w:tcPr>
            <w:tcW w:w="8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Interest expense, including amortization of deferred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27,128</w:t>
            </w:r>
          </w:p>
        </w:tc>
        <w:tc>
          <w:tcPr>
            <w:tcW w:w="8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58,254</w:t>
            </w:r>
          </w:p>
        </w:tc>
        <w:tc>
          <w:tcPr>
            <w:tcW w:w="8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17,517</w:t>
            </w:r>
          </w:p>
        </w:tc>
        <w:tc>
          <w:tcPr>
            <w:tcW w:w="8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8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4,266</w:t>
            </w:r>
          </w:p>
        </w:tc>
        <w:tc>
          <w:tcPr>
            <w:tcW w:w="8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early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8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 and 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partial lease termination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Hotel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102,872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111,219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110,933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present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because we believe they are useful to investors in comparing our operating performance between periods and between REITs that report similar measures, these measures have limitations as analytical tools.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do not reflect our cash expenditures or future requirements for capital expenditures or contractual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do not reflect changes in, or cash requirements for, our working capital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do not reflect funds available to make cash distributions;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do not reflect the significant interest expense, or the cash requirements necessary to service interest or principal payments, on our debts;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depreciation and amortization are non-cash charges, the assets being depreciated and amortized may need to be replaced in the future, and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do not reflect any cash requirements for such replacements;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compensation is and will remain a key element of our overall long-term incentive compensation package, although we exclude it as an expense when evaluating our ongoing operating performance for a particular period using Adjusted EBITDA;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FFO, Adjusted EBITDA and Adjusted Hotel EBITDA do not reflect the impact of certain cash charges (including acquisition transaction costs) that result from matters we consider not to be indicative of the underlying performance of our hotel properties;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companies in our industry may calculate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differently than we do, limiting their usefulness as a comparative measure;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do not represent cash generated from operating activities as determined by GAAP and should not be considered as alternatives to net income or loss, cash flows from operations or any other operating performance measure prescribed by GAAP.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are not measures of our liquidity.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of these limitations, FFO, Adjusted FFO, EBITDA, Adjusted EBITDA and Adjusted Hotel EBITDA should not be considered in isolation or as a substitute for performance measures calculated in accordance with GAAP. We compensate for these limitations by relying primarily on our GAAP results and using FFO, Adjusted FFO, EBITDA, EBITDA</w:t>
      </w:r>
      <w:r>
        <w:rPr>
          <w:rFonts w:ascii="Times New Roman" w:hAnsi="Times New Roman"/>
          <w:i/>
          <w:caps w:val="false"/>
          <w:smallCaps w:val="false"/>
          <w:sz w:val="20"/>
        </w:rPr>
        <w:t>re</w:t>
      </w:r>
      <w:r>
        <w:rPr>
          <w:rFonts w:ascii="Times New Roman" w:hAnsi="Times New Roman"/>
          <w:caps w:val="false"/>
          <w:smallCaps w:val="false"/>
          <w:sz w:val="20"/>
        </w:rPr>
        <w:t>, Adjusted EBITDA and Adjusted Hotel EBITDA only supplementally. Our consolidated financial statements and the notes to those statements included elsewhere are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plan to maintain a prudent capital structure and intend to maintain our leverage over the long term at a ratio of net debt to investment in hotels (at cost) (defined as our initial acquisition price plus the gross amount of any subsequent capital investment) at a level that will be similar to the levels at which we have operated in the past. A subsequent decrease in hotel property values will not necessarily cause us to repay debt to comply with this limitation. At December 31, 2025, our leverage ratio was approximately 20.1%, which decreased from 23.1% at December 31, 2024 based on the ratio of our net debt (total debt outstanding before deferred financing costs less unrestricted cash and cash equivalents) to hotel investments at cost. At December 31, 2025, we had total debt of $343.2 million at an average rate of approximately 6.2%. We intend to continue to fund our investments with a prudent balance of debt and equity. Our debt may include mortgage debt collateralized by our hotel properties and unsecured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December 31, 2025 and 2024, we had $0 and $110.0 million, respectively, in outstanding borrowings under our revolving credit facility. We had $200.0 million and $140.0 million in outstanding borrowings under our unsecured term loan at December 31, 2025 and 2024, respectively. At December 31, 2025, the maximum remaining borrowing availability under our revolving credit facility was $300.0 million. We also had mortgage debt on individual hotels aggregating $143.2 million and $159.2 million at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25, 2025, the Company entered into a new credit agreement for a credit facility (the "Credit Facility") consisting of a $300.0 million unsecured revolving credit facility and a $200.0 million unsecured term loan facility which replaced the existing $260.0 million revolving credit facility and the existing $140.0 million unsecured term loan facility. Proceeds from the new $200.0 million funded term loan were used to repay the $60.0 million of outstanding borrowings under the prior $260.0 million revolving credit facility and the $140.0 million of outstanding borrowings under the prior term loan. The new Credit Facility has an initial maturity date of September 25, 2029 and provides options to extend for one year. Total commitments of $500.0 million under the new Credit Facility can be increased up to $650.0 million through an accordion feature. Pricing on the new facilities is based on SOFR plus a spread of 1.50% to 2.25% for the revolving credit facility and a spread of 1.45% to 2.20% for the unsecured term loan facility based on the Company's leverage.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revolving credit facility and term loan contain representations, warranties, covenants, terms and conditions customary for credit facilities of this type, including a maximum leverage ratio, a maximum secured leverage ratio, a maximum unsecured leverage ratio, a minimum fixed charge coverage ratio, a minimum unsecured interest coverage ratio, and minimum net worth financial covenants, limitations on (i) liens, (ii) incurrence of debt, (iii) investments, (iv) distributions, and (v) mergers and asset dispositions, covenants to preserve corporate existence and comply with laws, covenants on the use of proceeds of the revolving credit facility and default provisions, including defaults for non-payment, breach of representations and warranties, insolvency, non-performance of covenants, cross-defaults and guarantor defaults. We were in compliance with all financial covenants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December 2017, we established a $50 million dividend reinvestment and stock purchase plan (the "DRSPP") which we renewed in December 2020 and renewed again in January 2024. Under the DRSPP, shareholders may purchase additional common shares by reinvesting some or all of the cash dividends received on common shares. Shareholders may also make optional cash purchases of the Company's common shares subject to certain limitations detailed in the prospectus for the DRSPP. During the year ended December 31, 2025, the Company issued 7,630 common shares under the DRSPP at a weighted average price of $7.10, which generated $54 thousand of proceeds. As of December 31, 2025, there was approximately $49.9 million of common shares available for issuance under the DRSPP.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January 2021, we established an "at-the-market" equity offering program (the "ATM Program") whereby, from time to time, we may publicly offer and sell our common shares having an aggregate offering price of up to $100 million by means of ordinary brokers transactions on the New York Stock Exchange (the "NYSE"), in negotiated transactions or in transactions deemed to be "at-the-market" offerings as defined in Rule 415 under the Securities Act of 1933, as amended. The Company did not issue any common shares under the ATM Program during the year ended December 31, 2025. As of December 31, 2025, there was approximately $77.5 million of common shares available for issuance under the ATM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May 2025, the Board of Trustees authorized and approved a $25.0 million share repurchase program (the "Share Repurchase Program") of our common shares. Under the Share Repurchase Program, we have the ability to repurchase up to $25.0 million of common shares through open market purchases or other privately negotiated transactions at times and in amounts as we deem appropriate. The Share Repurchase Program has no time limit and may be suspended or discontinued at any time. During the year ended December 31, 2025, the Company repurchased 1,313,795 common shares at a weighted-average price per share of $6.83 for an aggregate purchase price, including commissions, of approximately $9.0 million. As of December 31, 2025, there was approximately $16.0 million of common shares available for repurchase under the Share Repurchase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to meet our short-term liquidity requirements generally through existing cash balances and availability under our revolving credit facility and unsecured term loan. We believe that our existing cash balances and availability under our revolving credit facility and unsecured term loan will be adequate to fund operating obligations, pay interest on any borrowings and fund dividends in accordance with the requirements for qualification as a REIT under the Code. We expect to meet our long-term liquidity requirements, such as hotel property acquisitions and debt maturities or repayments through borrowings under our revolving credit facility and unsecured term loan, additional long-term secured and unsecured borrowings, the issuance of additional equity or debt securities or the possible sale of existing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intend to continue to invest in hotel properties as suitable opportunities arise. We intend to finance our future investments with free cash flow, the net proceeds from additional issuances of common and preferred shares, issuances of common units in our Operating Partnership or other securities, borrowings or asset sales. The success of our acquisition strategy depends, in part, on our ability to access additional capital through other sources. There can be no assurance that we will continue to make investments in properties that meet our investment criteria. Additionally, we may choose to dispose of certain hotels as a means to provide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had no material off-balance sheet arrangements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Sources and Uses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principal sources of cash include net cash from operations, availability under our revolving credit facility, proceeds from debt and equity issuances, and proceeds from the sale of hotel properties. Our principal uses of cash include acquisitions, capital expenditures, operating costs, corporate expenditures, interest costs, debt repayments and distributions to equity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totaled $32.6 million as of December 31, 2025, an increase of $2.8 million from December 31, 2024, primarily due to net cash provided by operating activities of $64.1 million, net cash provided by investing activities of $45.4 million, and net cash used in financing activities $106.7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Cash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cash flows provided by operating activities decreased $9.7 million to $64.1 million in 2025 compared to $73.8 million in 2024. The decrease in cash from operating activities was primarily due to the sale of seven hotels in 2024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Investing Activities Cash Flow</w:t>
      </w:r>
      <w:r>
        <w:rPr>
          <w:rFonts w:ascii="Times New Roman" w:hAnsi="Times New Roman"/>
          <w:caps w:val="false"/>
          <w:smallCaps w:val="false"/>
          <w:sz w:val="20"/>
        </w:rPr>
        <w: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cash flows provided by (used in) investing activities increased $74.6 million to $45.4 million in 2025 compared to $(29.2) million in 2024. For the year ended December 31, 2025, net cash flows provided by investing activities of $45.4 million consisted of $24.5 million related to capital improvements on our hotels and $0.1 million of payments of franchise application costs, partially offset by $70.0 million in net proceeds related to the sale of four hotels. For the year ended December 31, 2024, net cash flows used in investing activities of $(29.2) million consisted of $30.6 million related to capital improvements on our hotels, $43.7 million related to the acquisition of one hotel, and $0.7 million of payments of franchise application costs, partially offset by $45.9 million in net proceeds related to the sale of three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to invest approximately $26.5 million on renovations, discretionary and emergency expenditures on our existing hotels in 2026, including improvements required under any brand property improvement plan ("PIP").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Financing Activities Cash Flow</w:t>
      </w:r>
      <w:r>
        <w:rPr>
          <w:rFonts w:ascii="Times New Roman" w:hAnsi="Times New Roman"/>
          <w:caps w:val="false"/>
          <w:smallCaps w:val="false"/>
          <w:sz w:val="20"/>
        </w:rPr>
        <w: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cash flows used in financing activities increased $6.1 million to $(106.7) million in 2025 compared to $(100.6) million in 2024. For the year ended December 31, 2025, net cash flows used in financing activities of $106.7 million were comprised of net repayments on our revolving credit facility of $110.0 million, the repayment of mortgage debt of $16.0 million, payments of financing costs of $6.2 million, repurchases of common shares of $9.0 million, distributions to common share and LTIP unit holders of $17.6 million, and distributions on preferred shares of $8.0 million, partially offset by net borrowings on our unsecured term loan of $60.0 million. For the year ended December 31, 2024, net cash flows used in financing activities of $(100.6) million were comprised of the repayment of mortgage debt of $297.2 million, distributions to common share and unit holders of $14.4 million, distributions on preferred shares of $8.0 million, payments of financing costs of $1.1 million, and payments of offering costs on common shares of $0.3 million, partially offset by net borrowings on our revolving credit facility of $110.0 million, borrowings on our unsecured term loan of $50.0 million, and proceeds from the issuance of mortgage debt of $60.3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declared total dividends of $0.36 per common share and LTIP unit for the year ended December 31, 2025, and $0.28 per common share and LTIP unit for the year ended December 31, 2024. We declared total dividends of $1.65624 and $1.65624 per Series A preferred share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Material Cash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material cash requirements include the following contractual obligations: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December 31, 2025, we had total debt principal and interest obligations of $449.5 million with $21.3 million of principal and interest payable within the next 12 months from December 31, 2025.The Company has no debt principal obligations payable during the next 12 months. See Note 6, “Debt” to our consolidated financial statements for additional information relating to our property loans, revolving credit facility and unsecured term loan.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payments due within the next 12 months from year-end 2025 total $1.8 million. See Note 12, “Leases” to our consolidated financial statements for additional information relating to our corporate office and ground 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entered into transactions and arrangements with related parties that could result in potential conflicts of interest. See “Risks Related to Our Business” and Note 14, “Related Party Transactions”, to our consolidated financial statements included in this Annual Report on Form 10-K. See also Item 13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Operators of hotels, in general, possess the ability to adjust room rates daily to reflect the effects of inflation. However, competitive pressures may limit the ability of our management companies to raise room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consider the following estimates critical because they require estimates about matters that are inherently uncertain, involve various assumptions and require management judgment. The preparation of the consolidated financial statements in conformity with GAAP requires management to make estimates and assumptions that affect the reported amount of assets and liabilities at the balance sheet date and the reported amounts of revenues and expenses during the reporting period. Actual results may differ from these 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Investment in Hotel Properties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allocate the purchase prices of hotel properties acquired as asset acquisitions based on the fair value of the acquired real estate, furniture, fixtures and equipment, identifiable intangible assets and assumed liabilities. In making estimates of fair value for purposes of allocating the purchase price, we utilize a number of sources of information that are obtained in connection with the acquisition of a hotel property, including valuations performed by independent third parties and information obtained about each hotel property resulting from pre-acquisition due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hotel properties are carried at cost and are depreciated using the straight-line method over the estimated useful lives of the assets, generally 40 years for buildings, 20 years for land improvements, 5 to 20 years for building improvements and one to ten years for furniture, fixtures and equipment. Renovations and/or replacements at the hotel properties that improve or extend the life of the assets are capitalized and depreciated over their useful lives, while repairs and maintenance are expensed as incurred. Upon the sale or retirement of property and equipment, the cost and related accumulated depreciation are removed from the Company’s accounts and any resulting gain or loss is recognized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hotel properties are periodically reviewed for impairment whenever events or changes in circumstances indicate that the carrying value of the hotel properties may not be recoverable over management's estimated holding period. This estimated holding period incorporates management’s intent and ability to hold the hotel properties over the estimated holding period. Events or circumstances that may cause a review include, but are not limited to, adverse changes in the demand for lodging at the properties due to declining national or local economic conditions and/or new hotel construction in markets where the hotels are located. When such conditions exist, management will perform an analysis to determine if the estimated undiscounted future cash flows, without interest charges, from operations and the proceeds from the ultimate disposition of a hotel property exceed its carrying value. If the estimated undiscounted future cash flows are less than the carrying amount, an adjustment to reduce the carrying amount to the related hotel property's estimated fair value is recorded and an impairment loss recognized. For the year ended December 31, 2025, there were no impairment losses. For the year ended December 31, 2024, the Company incurred an impairment loss on one hotel property. For the year ended December 31, 2023, the Company incurred an impairment loss on one hotel property (See Note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properties the Company considers held for sale, depreciation and amortization are no longer recorded and the value of the properties is recorded at the lower of depreciated cost or fair value, less costs to sell. If circumstances arise that were previously considered unlikely, and, as a result, the Company decides not to sell a property previously classified as held for sale, the Company will reclassify such property as held and used. Such property is measured at the lower of its carrying amount (adjusted for any depreciation and amortization expense that would have been recognized had the property been continuously classified as held and used) or fair value at the date of the subsequent decision not to sell. The Company classifies properties as held for sale when all criteria within the Financial Accounting Standards Board's ("FASB") guidance on the impairment or disposal of long-lived assets are met. As of December 31, 2025, we had no hotel properties that met the criteria to be presented as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Revenue Recognition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Revenue from hotel operations is recognized when rooms are occupied and when services are provided. Revenue consists of amounts derived from hotel operations, including sales from room, meeting room, gift shop, in-room movie and other ancillary amenities. Sales, use, occupancy, and similar taxes are collected and presented on a net basis (excluded from revenues) in the accompanying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Share-Based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measure compensation expense for the restricted share awards based upon the fair market value of our common shares at the date of grant. The Company measures compensation expense for the Time-Based and Performance-Based LTIP units based upon the Monte Carlo approach using volatility, dividend yield and a risk free interest rate in the valuation. Compensation expense is recognized on a straight-line basis over the vesting period and is included in general and administrative expense in the accompanying consolidated statements of operations. We pay dividends on vested and non-vested restricted shares and Time-Based LTIP units. The Company has also issued Performance-Based LTIP units as part of its compensation plan. Under the terms of the Performance-Based LTIP units, a holder of a Performance-Based LTIP unit will generally (i) be entitled to receive 10% of the distributions made on a common unit of the Operating Partnership during the period prior to vesting of such Performance-Based LTIP unit (the “Pre-Vesting Distributions”), (ii) be entitled, upon the vesting of such Performance-Based LTIP unit, to receive a special one-time “catch-up” distribution equal to the aggregate amount of distributions that were paid on a common unit during the period prior to vesting of such Performance-Based LTIP unit minus the aggregate amount of Pre-Vesting Distributions paid on such Performance-Based LTIP unit, and (iii) be entitled, following the vesting of such Performance-Based LTIP unit, to receive the same amount of distributions paid on a common unit of the Operating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elected to be taxed as a REIT for federal income tax purposes commencing with our 2010 taxable year. In order to qualify as a REIT under the Code, we must meet certain organizational and operational requirements, including a requirement to distribute at least 90% of our annual REIT taxable income to our shareholders (which is computed without regard to the dividends paid deduction or net capital gain and which does not necessarily equal net income as calculated in accordance with GAAP). As a REIT, we generally will not be subject to federal income tax to the extent we currently distribute our taxable income to our shareholders. If we fail to qualify as a REIT in any taxable year, we will be subject to federal income tax on our taxable income at regular corporate income tax rates and generally will not be permitted to qualify for treatment as a REIT for federal income tax purposes for the four taxable years following the year during which qualification is lost unless the IRS grants us relief under certain statutory provisions. Such an event could materially adversely affect our net income and net cash available for distribution to shareholders. However, we believe we have been organized and that we operate in such a manner as to qualify for treatment as a REIT.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5" w:name="quant"/>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be exposed to interest rate changes primarily as a result of balances borrowed under our term loan and revolving credit facility, our assumption of long-term debt in connection with our acquisitions and upon refinancing of existing debt. Our interest rate risk management objectives are to limit the impact of interest rate changes on earnings and cash flows and to lower overall borrowing costs. To achieve these objectives, we seek to borrow primarily at fixed rates or variable rates with the lowest margins available and, in some cases, with the ability to convert variable rates to fixed rates. With respect to variable rate financing, we will assess interest rate risk by identifying and monitoring changes in interest rate exposures that may adversely impact expected future cash flows and by evaluating hedging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estimates the fair value of its fixed rate debt by discounting the future cash flows of each instrument at estimated market rates. Rates take into consideration general market conditions, maturity and fair value of the underlying collateral. The estimated fair value of the Company’s fixed rate debt at December 31, 2025 and 2024 was $154.0 million and $164.8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December 31, 2025, our consolidated debt was comprised of floating and fixed interest rate debt. The fair value of our fixed rate debt indicates the estimated principal amount of debt having the same debt service requirements that could have been borrowed at the date presented, at then current market interest rates. The following table provides information about the maturities of our financial instruments as of December 31, 2025 that are sensitive to changes in interest rates (dollars in thousands):</w:t>
      </w:r>
    </w:p>
    <w:p>
      <w:pPr>
        <w:pStyle w:val="TextBody"/>
        <w:bidi w:val="0"/>
        <w:spacing w:before="0" w:after="0"/>
        <w:ind w:left="0" w:right="0" w:hanging="0"/>
        <w:jc w:val="left"/>
        <w:rPr>
          <w:caps w:val="false"/>
          <w:smallCaps w:val="false"/>
        </w:rPr>
      </w:pPr>
      <w:r>
        <w:rPr>
          <w:caps w:val="false"/>
          <w:smallCaps w:val="false"/>
        </w:rPr>
        <w:t> </w:t>
      </w:r>
    </w:p>
    <w:tbl>
      <w:tblPr>
        <w:tblW w:w="8879" w:type="dxa"/>
        <w:jc w:val="left"/>
        <w:tblInd w:w="0" w:type="dxa"/>
        <w:tblLayout w:type="fixed"/>
        <w:tblCellMar>
          <w:top w:w="0" w:type="dxa"/>
          <w:left w:w="0" w:type="dxa"/>
          <w:bottom w:w="0" w:type="dxa"/>
          <w:right w:w="0" w:type="dxa"/>
        </w:tblCellMar>
      </w:tblPr>
      <w:tblGrid>
        <w:gridCol w:w="1685"/>
        <w:gridCol w:w="60"/>
        <w:gridCol w:w="142"/>
        <w:gridCol w:w="298"/>
        <w:gridCol w:w="60"/>
        <w:gridCol w:w="60"/>
        <w:gridCol w:w="142"/>
        <w:gridCol w:w="298"/>
        <w:gridCol w:w="60"/>
        <w:gridCol w:w="60"/>
        <w:gridCol w:w="125"/>
        <w:gridCol w:w="590"/>
        <w:gridCol w:w="185"/>
        <w:gridCol w:w="60"/>
        <w:gridCol w:w="125"/>
        <w:gridCol w:w="695"/>
        <w:gridCol w:w="185"/>
        <w:gridCol w:w="60"/>
        <w:gridCol w:w="125"/>
        <w:gridCol w:w="380"/>
        <w:gridCol w:w="185"/>
        <w:gridCol w:w="60"/>
        <w:gridCol w:w="163"/>
        <w:gridCol w:w="772"/>
        <w:gridCol w:w="185"/>
        <w:gridCol w:w="60"/>
        <w:gridCol w:w="125"/>
        <w:gridCol w:w="695"/>
        <w:gridCol w:w="185"/>
        <w:gridCol w:w="60"/>
        <w:gridCol w:w="142"/>
        <w:gridCol w:w="792"/>
        <w:gridCol w:w="60"/>
      </w:tblGrid>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Thereafter</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Floating rate: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interest rate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rate: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153,975</w:t>
            </w:r>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interest rate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2025, we estimate that a hypothetical 100 basis points increase in SOFR would result in additional interest of approximately $2.0 million annually. This assumes that the total amount of floating rate debt outstanding on our revolving credit facility and unsecured term loan remains $200.0 million, the balance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6" w:name="finstmts"/>
      <w:bookmarkEnd w:id="16"/>
      <w:r>
        <w:rPr>
          <w:rFonts w:ascii="Times New Roman" w:hAnsi="Times New Roman"/>
          <w:b/>
          <w:caps w:val="false"/>
          <w:smallCaps w:val="false"/>
          <w:sz w:val="20"/>
        </w:rPr>
        <w:t>Item 8. 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See our Consolidated Financial Statements and the Notes thereto beginning at page F-1 included in Item 15,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7" w:name="changes"/>
      <w:bookmarkEnd w:id="17"/>
      <w:r>
        <w:rPr>
          <w:rFonts w:ascii="Times New Roman" w:hAnsi="Times New Roman"/>
          <w:b/>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8" w:name="controls"/>
      <w:bookmarkEnd w:id="18"/>
      <w:r>
        <w:rPr>
          <w:rFonts w:ascii="Times New Roman" w:hAnsi="Times New Roman"/>
          <w:b/>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and Chief Financial Officer, we have evaluated the effectiveness of the design and operation of our disclosure controls and procedures pursuant to Exchange Act Rule 13a-15(b) as of the end of the period covered by this report. Based on that evaluation, our Chief Executive Officer and Chief Financial Officer have concluded that these disclosure controls and procedures are effective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have been no changes in our internal control over financial reporting that occurred during the last fiscal quarter of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 Annual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such term is defined in Exchange Act Rule 13a-15(f) and 15d-15(f)</w:t>
      </w:r>
      <w:r>
        <w:rPr>
          <w:rFonts w:ascii="Times New Roman" w:hAnsi="Times New Roman"/>
          <w:i/>
          <w:caps w:val="false"/>
          <w:smallCaps w:val="false"/>
          <w:sz w:val="20"/>
        </w:rPr>
        <w:t>.</w:t>
      </w:r>
      <w:r>
        <w:rPr>
          <w:rFonts w:ascii="Times New Roman" w:hAnsi="Times New Roman"/>
          <w:caps w:val="false"/>
          <w:smallCaps w:val="false"/>
          <w:sz w:val="20"/>
        </w:rPr>
        <w:t>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assessed the effectiveness of our internal control over financial reporting as of December 31, 2025.  In making this assessment, management used the criteria set forth by the Committee of Sponsoring Organizations of the Treadway Commission (COSO) in “Internal Control-Integrated Framework” (2013 framework).  Based on this assessment, management has concluded that, as of December 31, 2025, our internal control over financial reporting is effective, based on those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effectiveness of our internal control over financial reporting as of December 31, 2025, has been audited by PricewaterhouseCoopers LLP, an independent registered public accounting firm, as stated in their report, which appears on page F-2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otherinfo"/>
      <w:bookmarkEnd w:id="19"/>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0" w:name="disclosure"/>
      <w:bookmarkEnd w:id="20"/>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1" w:name="part3"/>
      <w:bookmarkEnd w:id="21"/>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2" w:name="trustees"/>
      <w:bookmarkEnd w:id="22"/>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Trustees,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information required by this item is incorporated by reference to the Company's Proxy Statement for the 2026 Annual Meeting of Shareholders to be held on </w:t>
      </w:r>
      <w:r>
        <w:rPr>
          <w:rStyle w:val="Emphasis"/>
          <w:rFonts w:ascii="Times New Roman" w:hAnsi="Times New Roman"/>
          <w:caps w:val="false"/>
          <w:smallCaps w:val="false"/>
          <w:sz w:val="20"/>
        </w:rPr>
        <w:t>May 12,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3" w:name="executive"/>
      <w:bookmarkEnd w:id="23"/>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information required by this item is incorporated by reference to the Company's Proxy Statement for the 2026 Annual Meeting of Shareholders to be held on </w:t>
      </w:r>
      <w:r>
        <w:rPr>
          <w:rStyle w:val="Emphasis"/>
          <w:rFonts w:ascii="Times New Roman" w:hAnsi="Times New Roman"/>
          <w:caps w:val="false"/>
          <w:smallCaps w:val="false"/>
          <w:sz w:val="20"/>
        </w:rPr>
        <w:t>May 12,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4" w:name="security"/>
      <w:bookmarkEnd w:id="24"/>
      <w:r>
        <w:rPr>
          <w:rFonts w:ascii="Times New Roman" w:hAnsi="Times New Roman"/>
          <w:b/>
          <w:caps w:val="false"/>
          <w:smallCaps w:val="false"/>
          <w:sz w:val="20"/>
        </w:rPr>
        <w:t>Item 12. Security Ownership of Certain Beneficial Owners and Management and Related Stockholder Matters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by reference to the Company's Proxy Statement for the 2026 Annual Meeting of Shareholders to be held on May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5" w:name="certain"/>
      <w:bookmarkEnd w:id="25"/>
      <w:r>
        <w:rPr>
          <w:rFonts w:ascii="Times New Roman" w:hAnsi="Times New Roman"/>
          <w:b/>
          <w:caps w:val="false"/>
          <w:smallCaps w:val="false"/>
          <w:sz w:val="20"/>
        </w:rPr>
        <w:t>Item 13. Certain Relationships and Related Transactions, and Trustee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by reference to the Company's Proxy Statement for the 2026 Annual Meeting of Shareholders to be held on May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6" w:name="principal"/>
      <w:bookmarkEnd w:id="26"/>
      <w:r>
        <w:rPr>
          <w:rFonts w:ascii="Times New Roman" w:hAnsi="Times New Roman"/>
          <w:b/>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by reference to the Company's Proxy Statement for the 2026 Annual Meeting of Shareholders to be held on May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7" w:name="part4"/>
      <w:bookmarkEnd w:id="27"/>
      <w:r>
        <w:rPr>
          <w:rFonts w:ascii="Times New Roman" w:hAnsi="Times New Roman"/>
          <w:b/>
          <w:caps w:val="false"/>
          <w:smallCaps w:val="false"/>
          <w:sz w:val="20"/>
        </w:rPr>
        <w:t>PART IV</w:t>
      </w:r>
    </w:p>
    <w:p>
      <w:pPr>
        <w:pStyle w:val="TextBody"/>
        <w:bidi w:val="0"/>
        <w:spacing w:before="0" w:after="0"/>
        <w:ind w:left="0" w:right="0" w:hanging="0"/>
        <w:jc w:val="left"/>
        <w:rPr>
          <w:rFonts w:ascii="Times New Roman" w:hAnsi="Times New Roman"/>
          <w:b/>
          <w:caps w:val="false"/>
          <w:smallCaps w:val="false"/>
          <w:sz w:val="20"/>
        </w:rPr>
      </w:pPr>
      <w:bookmarkStart w:id="28" w:name="exhibits"/>
      <w:bookmarkEnd w:id="28"/>
      <w:r>
        <w:rPr>
          <w:rFonts w:ascii="Times New Roman" w:hAnsi="Times New Roman"/>
          <w:b/>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70"/>
        <w:gridCol w:w="52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r>
      <w:tr>
        <w:trPr/>
        <w:tc>
          <w:tcPr>
            <w:tcW w:w="17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left"/>
              <w:rPr>
                <w:sz w:val="20"/>
              </w:rPr>
            </w:pPr>
            <w:r>
              <w:rPr>
                <w:sz w:val="20"/>
              </w:rPr>
              <w:t>See the Index to Consolidated Financial Statements at pages F-1</w:t>
            </w:r>
          </w:p>
        </w:tc>
      </w:tr>
    </w:tbl>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70"/>
        <w:gridCol w:w="25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2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financial statement schedule is included herein at page 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 III - Real Estate and Accumulated Depreciation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schedules for which provision is made in Regulation S-X are either not required to be included herein under the related instructions or are inapplicable or the related information is included in the footnotes to the applicable financial statement and, therefore, have been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list of exhibits required to be filed as part of this report on Form 10-K is set forth in the Exhibit Index, which immediately follows this item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949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 of Exhibit</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3.1</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Articles of Amendment and Restatement of Chatham Lodging Trust(7)</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3.2</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Articles of Amendment of Chatham Lodging Trust(12)</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3.3</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Fourth Amended and Restated Bylaws of Chatham Lodging Trust(1) </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3.4</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Articles Supplementary to the Company's Declaration of Trust designating the 6.625% Series A Cumulative Redeemable Preferred Shares of Beneficial Interest, $0.01 par value per share(10)</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w:anchor="ex_787840.htm">
              <w:r>
                <w:rPr>
                  <w:rStyle w:val="InternetLink"/>
                  <w:rFonts w:ascii="Times New Roman" w:hAnsi="Times New Roman"/>
                  <w:caps w:val="false"/>
                  <w:smallCaps w:val="false"/>
                  <w:sz w:val="20"/>
                  <w:u w:val="single"/>
                </w:rPr>
                <w:t>4.1†</w:t>
              </w:r>
            </w:hyperlink>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Company's Securities Registered Pursuant to Section 12 of the Securities Exchange Act of 1934</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10.1*</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Lodging Trust Equity Incentive Plan, Amended and Restated as of May 22, 2022, as amended on May 6, 2025(14) </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u w:val="single"/>
                </w:rPr>
                <w:t>10.2*</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Employment Agreement between Chatham Lodging Trust and Jeffrey H. Fisher(7)</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u w:val="single"/>
                </w:rPr>
                <w:t>10.3*</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Employment Agreement between Chatham Lodging Trust and Dennis M. Craven(7)</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u w:val="single"/>
                </w:rPr>
                <w:t>10.4*</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Employment Agreement between Chatham Lodging Trust and Jeremy Wegner(2)</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u w:val="single"/>
                </w:rPr>
                <w:t>10.5*</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Amendment to Employment Agreement of Dennis Craven dated January 30, 2015(3)</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u w:val="single"/>
                </w:rPr>
                <w:t>10.6*</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Indemnification Agreement between Chatham Lodging Trust and its officers and trustees(4) </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u w:val="single"/>
                </w:rPr>
                <w:t>10.7*</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LTIP Unit Vesting Agreement(4) </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u w:val="single"/>
                </w:rPr>
                <w:t>10.8*</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Share Award Agreement for Trustees(4) </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u w:val="single"/>
                </w:rPr>
                <w:t>10.9*</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Share Award Agreement for Officers(5) </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u w:val="single"/>
                </w:rPr>
                <w:t>10.10*</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 Award Agreement, dated as of June 1, 2015, between Chatham Lodging Trust and Jeremy Wegner(6)</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u w:val="single"/>
                </w:rPr>
                <w:t>10.11</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Agreement of Limited Partnership of Chatham Lodging, L.P.(4) </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10.12</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First Amendment to the Agreement of Limited Partnership of Chatham Lodging, L.P.(6)</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10.13</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 Amendment to the Agreement of Limited Partnership of Chatham Lodging, L.P.(11)</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u w:val="single"/>
                </w:rPr>
                <w:t>10.14</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IHM Hotel Management Agreement(4) </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u w:val="single"/>
                </w:rPr>
                <w:t>10.15*</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2016 Time-Based LTIP Unit Award Agreement(7)</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sz w:val="20"/>
                  <w:u w:val="single"/>
                </w:rPr>
                <w:t>10.16*</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2016 Performance-Based LTIP Unit Award Agreement(7)</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23">
              <w:r>
                <w:rPr>
                  <w:rStyle w:val="InternetLink"/>
                  <w:rFonts w:ascii="Times New Roman" w:hAnsi="Times New Roman"/>
                  <w:caps w:val="false"/>
                  <w:smallCaps w:val="false"/>
                  <w:sz w:val="20"/>
                  <w:u w:val="single"/>
                </w:rPr>
                <w:t>10.17</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Agreement, dated January 5, 2021, by and among Chatham Lodging Trust, Chatham Lodging, L.P. and Cantor Fitzgerald &amp; Co., Barclays Capital Inc., BMO Capital Markets Corp., BofA Securities, Inc., BTIG, LLC, Citigroup Global Markets Inc., Regions Securities LLC, Stifel, Nicolaus &amp; Company, Incorporated and Wells Fargo Securities, LLC(9)</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24">
              <w:r>
                <w:rPr>
                  <w:rStyle w:val="InternetLink"/>
                  <w:rFonts w:ascii="Times New Roman" w:hAnsi="Times New Roman"/>
                  <w:caps w:val="false"/>
                  <w:smallCaps w:val="false"/>
                  <w:sz w:val="20"/>
                  <w:u w:val="single"/>
                </w:rPr>
                <w:t>10.18</w:t>
              </w:r>
            </w:hyperlink>
          </w:p>
        </w:tc>
        <w:tc>
          <w:tcPr>
            <w:tcW w:w="949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Credit Agreement, dated as of September 25, 2025, among the Operating Partnership, as the borrower, the Registrant, as the parent REIT and a guarantor, certain subsidiaries of the borrower, as guarantors, Bank of America, N.A., as administrative agent and L/C issuer, and the other lenders party thereto.(8)</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hyperlink r:id="rId25">
              <w:r>
                <w:rPr>
                  <w:rStyle w:val="InternetLink"/>
                </w:rPr>
                <w:t>19.1</w:t>
              </w:r>
            </w:hyperlink>
          </w:p>
        </w:tc>
        <w:tc>
          <w:tcPr>
            <w:tcW w:w="9495" w:type="dxa"/>
            <w:tcBorders/>
            <w:vAlign w:val="center"/>
          </w:tcPr>
          <w:p>
            <w:pPr>
              <w:pStyle w:val="TableContents"/>
              <w:bidi w:val="0"/>
              <w:spacing w:lineRule="auto" w:line="288" w:before="0" w:after="283"/>
              <w:jc w:val="left"/>
              <w:rPr/>
            </w:pPr>
            <w:r>
              <w:rPr/>
              <w:t>Chatham Lodging Trust Insider Trading Policy(15)</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w:anchor="ex_787841.htm">
              <w:r>
                <w:rPr>
                  <w:rStyle w:val="InternetLink"/>
                  <w:rFonts w:ascii="Times New Roman" w:hAnsi="Times New Roman"/>
                  <w:caps w:val="false"/>
                  <w:smallCaps w:val="false"/>
                  <w:sz w:val="20"/>
                  <w:u w:val="single"/>
                </w:rPr>
                <w:t>21.1†</w:t>
              </w:r>
            </w:hyperlink>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List of Subsidiaries of Chatham Lodging Trust</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w:anchor="ex_787842.htm">
              <w:r>
                <w:rPr>
                  <w:rStyle w:val="InternetLink"/>
                  <w:rFonts w:ascii="Times New Roman" w:hAnsi="Times New Roman"/>
                  <w:caps w:val="false"/>
                  <w:smallCaps w:val="false"/>
                  <w:sz w:val="20"/>
                  <w:u w:val="single"/>
                </w:rPr>
                <w:t>23.1†</w:t>
              </w:r>
            </w:hyperlink>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PricewaterhouseCoopers LLP Consent of Independent Registered Public Accounting Firm</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w:anchor="ex_787843.htm">
              <w:r>
                <w:rPr>
                  <w:rStyle w:val="InternetLink"/>
                  <w:rFonts w:ascii="Times New Roman" w:hAnsi="Times New Roman"/>
                  <w:caps w:val="false"/>
                  <w:smallCaps w:val="false"/>
                  <w:sz w:val="20"/>
                  <w:u w:val="single"/>
                </w:rPr>
                <w:t>31.1†</w:t>
              </w:r>
            </w:hyperlink>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of Chief Executive Officer pursuant to Rule 13a-14(a)/15d-14(a) of the Securities Exchange Act of 1934, as amended, as adopted pursuant to Section 302 of the Sarbanes-Oxley Act of 2002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1"/>
        <w:gridCol w:w="9484"/>
      </w:tblGrid>
      <w:tr>
        <w:trPr/>
        <w:tc>
          <w:tcPr>
            <w:tcW w:w="721" w:type="dxa"/>
            <w:tcBorders/>
            <w:vAlign w:val="center"/>
          </w:tcPr>
          <w:p>
            <w:pPr>
              <w:pStyle w:val="TableContents"/>
              <w:bidi w:val="0"/>
              <w:spacing w:before="0" w:after="0"/>
              <w:ind w:left="0" w:right="0" w:hanging="0"/>
              <w:jc w:val="left"/>
              <w:rPr/>
            </w:pPr>
            <w:hyperlink w:anchor="ex_787844.htm">
              <w:r>
                <w:rPr>
                  <w:rStyle w:val="InternetLink"/>
                  <w:rFonts w:ascii="Times New Roman" w:hAnsi="Times New Roman"/>
                  <w:caps w:val="false"/>
                  <w:smallCaps w:val="false"/>
                  <w:sz w:val="20"/>
                  <w:u w:val="single"/>
                </w:rPr>
                <w:t>31.2†</w:t>
              </w:r>
            </w:hyperlink>
          </w:p>
        </w:tc>
        <w:tc>
          <w:tcPr>
            <w:tcW w:w="94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of Chief Financial Officer pursuant to Rule 13a-14(a)/15d-14(a) of the Securities Exchange Act of 1934, as amended, as adopted pursuant to Section 302 of the Sarbanes-Oxley Act of 2002</w:t>
            </w:r>
          </w:p>
        </w:tc>
      </w:tr>
      <w:tr>
        <w:trPr/>
        <w:tc>
          <w:tcPr>
            <w:tcW w:w="721"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721" w:type="dxa"/>
            <w:tcBorders/>
            <w:vAlign w:val="center"/>
          </w:tcPr>
          <w:p>
            <w:pPr>
              <w:pStyle w:val="TableContents"/>
              <w:bidi w:val="0"/>
              <w:spacing w:before="0" w:after="0"/>
              <w:ind w:left="0" w:right="0" w:hanging="0"/>
              <w:jc w:val="left"/>
              <w:rPr/>
            </w:pPr>
            <w:hyperlink w:anchor="ex_787845.htm">
              <w:r>
                <w:rPr>
                  <w:rStyle w:val="InternetLink"/>
                  <w:rFonts w:ascii="Times New Roman" w:hAnsi="Times New Roman"/>
                  <w:caps w:val="false"/>
                  <w:smallCaps w:val="false"/>
                  <w:sz w:val="20"/>
                  <w:u w:val="single"/>
                </w:rPr>
                <w:t>32.1††</w:t>
              </w:r>
            </w:hyperlink>
          </w:p>
        </w:tc>
        <w:tc>
          <w:tcPr>
            <w:tcW w:w="94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of Chief Executive Officer and Chief Financial Officer pursuant to 18 U.S.C. 1350, as adopted pursuant to Section 906 of the Sarbanes-Oxley Act of 2002</w:t>
            </w:r>
          </w:p>
        </w:tc>
      </w:tr>
      <w:tr>
        <w:trPr/>
        <w:tc>
          <w:tcPr>
            <w:tcW w:w="721"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721" w:type="dxa"/>
            <w:tcBorders/>
            <w:vAlign w:val="center"/>
          </w:tcPr>
          <w:p>
            <w:pPr>
              <w:pStyle w:val="TableContents"/>
              <w:bidi w:val="0"/>
              <w:spacing w:before="0" w:after="0"/>
              <w:ind w:left="0" w:right="0" w:hanging="0"/>
              <w:jc w:val="left"/>
              <w:rPr/>
            </w:pPr>
            <w:hyperlink r:id="rId26">
              <w:r>
                <w:rPr>
                  <w:rStyle w:val="InternetLink"/>
                  <w:rFonts w:ascii="Times New Roman" w:hAnsi="Times New Roman"/>
                  <w:caps w:val="false"/>
                  <w:smallCaps w:val="false"/>
                  <w:sz w:val="20"/>
                  <w:u w:val="single"/>
                </w:rPr>
                <w:t>97.1</w:t>
              </w:r>
            </w:hyperlink>
          </w:p>
        </w:tc>
        <w:tc>
          <w:tcPr>
            <w:tcW w:w="9484"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Lodging Trust Clawback Policy(13)</w:t>
            </w:r>
          </w:p>
        </w:tc>
      </w:tr>
      <w:tr>
        <w:trPr/>
        <w:tc>
          <w:tcPr>
            <w:tcW w:w="721"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7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94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instance document does not appear in the interactive data file because its inline XBRL tags are embedded within the inline XBRL document.</w:t>
            </w:r>
          </w:p>
        </w:tc>
      </w:tr>
      <w:tr>
        <w:trPr/>
        <w:tc>
          <w:tcPr>
            <w:tcW w:w="721"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7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94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21"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7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94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21"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7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94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21"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7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94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21"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7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94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21" w:type="dxa"/>
            <w:tcBorders/>
            <w:vAlign w:val="center"/>
          </w:tcPr>
          <w:p>
            <w:pPr>
              <w:pStyle w:val="TableContents"/>
              <w:bidi w:val="0"/>
              <w:spacing w:before="0" w:after="283"/>
              <w:jc w:val="left"/>
              <w:rPr/>
            </w:pPr>
            <w:r>
              <w:rPr/>
              <w:t> </w:t>
            </w:r>
          </w:p>
        </w:tc>
        <w:tc>
          <w:tcPr>
            <w:tcW w:w="9484" w:type="dxa"/>
            <w:tcBorders/>
            <w:vAlign w:val="center"/>
          </w:tcPr>
          <w:p>
            <w:pPr>
              <w:pStyle w:val="TableContents"/>
              <w:bidi w:val="0"/>
              <w:spacing w:before="0" w:after="283"/>
              <w:jc w:val="left"/>
              <w:rPr/>
            </w:pPr>
            <w:r>
              <w:rPr/>
              <w:t> </w:t>
            </w:r>
          </w:p>
        </w:tc>
      </w:tr>
      <w:tr>
        <w:trPr/>
        <w:tc>
          <w:tcPr>
            <w:tcW w:w="7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4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 the cover page interactive data file does not appear in the interactive date file because its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140"/>
        <w:gridCol w:w="1235"/>
      </w:tblGrid>
      <w:tr>
        <w:trPr/>
        <w:tc>
          <w:tcPr>
            <w:tcW w:w="140" w:type="dxa"/>
            <w:tcBorders/>
            <w:vAlign w:val="center"/>
          </w:tcPr>
          <w:p>
            <w:pPr>
              <w:pStyle w:val="TableContents"/>
              <w:bidi w:val="0"/>
              <w:spacing w:before="0" w:after="0"/>
              <w:ind w:left="0" w:right="0" w:hanging="0"/>
              <w:jc w:val="left"/>
              <w:rPr/>
            </w:pPr>
            <w:r>
              <w:rPr/>
              <w:t>†</w:t>
            </w:r>
          </w:p>
        </w:tc>
        <w:tc>
          <w:tcPr>
            <w:tcW w:w="1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60"/>
        <w:gridCol w:w="1625"/>
      </w:tblGrid>
      <w:tr>
        <w:trPr/>
        <w:tc>
          <w:tcPr>
            <w:tcW w:w="260"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125"/>
        <w:gridCol w:w="992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Denotes management contract or compensation plan or arrangement in which trustees or officers are eligible to participate.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Submitted electronically herewith. Attached as Exhibit 101 to this report are the following documents formatted in XBRL (Extensible Business Reporting Language): (i) Consolidated Balance Sheets at December 31, 2025 and 2024; (ii) Consolidated Statements of Operations for the years ended December 31, 2025, 2024 and 2023; (iii) Consolidated Statements of Equity for the years ended December 31, 2025, 2024 and 2023; (iv) Consolidated Statements of Cash Flows for the years ended December 31, 2025, 2024 and 2023; and (v) Notes to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31"/>
        <w:gridCol w:w="9814"/>
      </w:tblGrid>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Exhibit 3.1 to the Company's Current Report on Form 8-K filed with the SEC on February 24, 2023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the Company’s Current Report on Form 8-K filed with the SEC on May 5, 2015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the Company's Current Report on Form 8-K filed with the SEC on February 5, 2015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Amendment No. 4 to the Company’s Registration Statement on Form S-11 filed with the SEC on February 12, 2010 (File No. 333-162889).</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the Company's Quarterly Report on Form 10-Q filed with the SEC on August 13, 2010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the Company's Quarterly Report on Form 10-Q filed with the SEC on August 6, 2015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the Company's Annual Report on Form 10-K filed with the SEC on February 29, 2016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Exhibit 10.1 to the Company's Current Report on Form 8-K filed with the SEC on September 29, 2025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Exhibit 1.1 to the Company's Current Report on Form 8-K filed with the SEC on January 5, 2021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Exhibit 3.3 to the Company's Registration Statement on Form 8-A filed with the SEC on June 25, 2021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Exhibit 3.2 to the Company's Current Report on Form 8-K filed with the SEC on June 28, 2021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Exhibit 3.2 to the Company's Quarterly Report on Form 10-Q filed with the SEC on May 4, 2023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sz w:val="20"/>
              </w:rPr>
            </w:pPr>
            <w:r>
              <w:rPr>
                <w:sz w:val="20"/>
              </w:rPr>
              <w:t>(13)</w:t>
            </w:r>
          </w:p>
        </w:tc>
        <w:tc>
          <w:tcPr>
            <w:tcW w:w="9814" w:type="dxa"/>
            <w:tcBorders/>
            <w:vAlign w:val="center"/>
          </w:tcPr>
          <w:p>
            <w:pPr>
              <w:pStyle w:val="TableContents"/>
              <w:bidi w:val="0"/>
              <w:spacing w:before="0" w:after="283"/>
              <w:jc w:val="left"/>
              <w:rPr>
                <w:sz w:val="20"/>
              </w:rPr>
            </w:pPr>
            <w:r>
              <w:rPr>
                <w:sz w:val="20"/>
              </w:rPr>
              <w:t>Incorporated by reference to Exhibit 97.1 to the Company's Annual Report on Form 10-K filed with the SEC on February 27, 2024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98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Exhibit 10.1 to the Company's Quarterly Report on Form 10-Q filed with the SEC on August 6, 2025 (File No. 001-34693).</w:t>
            </w:r>
          </w:p>
        </w:tc>
      </w:tr>
      <w:tr>
        <w:trPr/>
        <w:tc>
          <w:tcPr>
            <w:tcW w:w="6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sz w:val="20"/>
              </w:rPr>
            </w:pPr>
            <w:r>
              <w:rPr>
                <w:sz w:val="20"/>
              </w:rPr>
              <w:t>(15)</w:t>
            </w:r>
          </w:p>
        </w:tc>
        <w:tc>
          <w:tcPr>
            <w:tcW w:w="9814" w:type="dxa"/>
            <w:tcBorders/>
            <w:vAlign w:val="center"/>
          </w:tcPr>
          <w:p>
            <w:pPr>
              <w:pStyle w:val="TableContents"/>
              <w:bidi w:val="0"/>
              <w:spacing w:before="0" w:after="283"/>
              <w:jc w:val="left"/>
              <w:rPr>
                <w:sz w:val="20"/>
              </w:rPr>
            </w:pPr>
            <w:r>
              <w:rPr>
                <w:sz w:val="20"/>
              </w:rPr>
              <w:t>Incorporated by reference to Exhibit 19.1 to the Company's Annual Report on Form 10-K filed with the SEC on February 26, 2025 (File No. 001-34693).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170" w:type="dxa"/>
        <w:jc w:val="left"/>
        <w:tblInd w:w="0" w:type="dxa"/>
        <w:tblLayout w:type="fixed"/>
        <w:tblCellMar>
          <w:top w:w="0" w:type="dxa"/>
          <w:left w:w="0" w:type="dxa"/>
          <w:bottom w:w="0" w:type="dxa"/>
          <w:right w:w="0" w:type="dxa"/>
        </w:tblCellMar>
      </w:tblPr>
      <w:tblGrid>
        <w:gridCol w:w="575"/>
        <w:gridCol w:w="1505"/>
        <w:gridCol w:w="60"/>
        <w:gridCol w:w="5030"/>
      </w:tblGrid>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CHATHAM LODGING TRUST</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Dated:</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27, 2026</w:t>
            </w:r>
          </w:p>
        </w:tc>
        <w:tc>
          <w:tcPr>
            <w:tcW w:w="60" w:type="dxa"/>
            <w:tcBorders/>
            <w:vAlign w:val="center"/>
          </w:tcPr>
          <w:p>
            <w:pPr>
              <w:pStyle w:val="TableContents"/>
              <w:bidi w:val="0"/>
              <w:spacing w:before="0" w:after="283"/>
              <w:jc w:val="left"/>
              <w:rPr/>
            </w:pPr>
            <w:r>
              <w:rPr/>
              <w:t> </w:t>
            </w:r>
          </w:p>
        </w:tc>
        <w:tc>
          <w:tcPr>
            <w:tcW w:w="5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JEFFREY H. FISHER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Jeffrey H. Fisher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of the Board, President and Chief Executive Officer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35"/>
        <w:gridCol w:w="60"/>
        <w:gridCol w:w="6287"/>
        <w:gridCol w:w="60"/>
        <w:gridCol w:w="1363"/>
      </w:tblGrid>
      <w:tr>
        <w:trPr/>
        <w:tc>
          <w:tcPr>
            <w:tcW w:w="24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628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36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JEFFREY H. FISHER</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of the Board, President and Chief Executive Officer (Principal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27, 2026</w:t>
            </w:r>
          </w:p>
        </w:tc>
      </w:tr>
      <w:tr>
        <w:trPr/>
        <w:tc>
          <w:tcPr>
            <w:tcW w:w="24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Jeffrey H. Fisher</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JEREMY B. WEGNER</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and Chief Financial Officer (Principal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27, 2026</w:t>
            </w:r>
          </w:p>
        </w:tc>
      </w:tr>
      <w:tr>
        <w:trPr/>
        <w:tc>
          <w:tcPr>
            <w:tcW w:w="24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Jeremy B. Wegner</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EDWIN B. BREWER, JR.</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Trustee</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27, 2026</w:t>
            </w:r>
          </w:p>
        </w:tc>
      </w:tr>
      <w:tr>
        <w:trPr/>
        <w:tc>
          <w:tcPr>
            <w:tcW w:w="24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Edwin B. Brewer, Jr.</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DAVID GRISSEN</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Trustee</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27, 2026</w:t>
            </w:r>
          </w:p>
        </w:tc>
      </w:tr>
      <w:tr>
        <w:trPr/>
        <w:tc>
          <w:tcPr>
            <w:tcW w:w="24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David Grissen</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MARY ELIZABETH HIGGINS</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Trustee</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27, 2026</w:t>
            </w:r>
          </w:p>
        </w:tc>
      </w:tr>
      <w:tr>
        <w:trPr/>
        <w:tc>
          <w:tcPr>
            <w:tcW w:w="24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Mary Elizabeth Higgins</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ROLF E. RUHFUS</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Trustee</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27, 2026</w:t>
            </w:r>
          </w:p>
        </w:tc>
      </w:tr>
      <w:tr>
        <w:trPr/>
        <w:tc>
          <w:tcPr>
            <w:tcW w:w="24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Rolf E. Ruhfus</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r>
        <w:trPr/>
        <w:tc>
          <w:tcPr>
            <w:tcW w:w="24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ETHEL ISAACS WILLIAMS</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Trustee</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27, 2026</w:t>
            </w:r>
          </w:p>
        </w:tc>
      </w:tr>
      <w:tr>
        <w:trPr/>
        <w:tc>
          <w:tcPr>
            <w:tcW w:w="24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Ethel Isaacs Williams</w:t>
            </w:r>
          </w:p>
        </w:tc>
        <w:tc>
          <w:tcPr>
            <w:tcW w:w="60" w:type="dxa"/>
            <w:tcBorders/>
            <w:tcMar>
              <w:bottom w:w="0" w:type="dxa"/>
            </w:tcMar>
            <w:vAlign w:val="center"/>
          </w:tcPr>
          <w:p>
            <w:pPr>
              <w:pStyle w:val="TableContents"/>
              <w:bidi w:val="0"/>
              <w:spacing w:before="0" w:after="283"/>
              <w:jc w:val="left"/>
              <w:rPr/>
            </w:pPr>
            <w:r>
              <w:rPr/>
              <w:t> </w:t>
            </w:r>
          </w:p>
        </w:tc>
        <w:tc>
          <w:tcPr>
            <w:tcW w:w="62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3"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CHATHAM LODGING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745"/>
        <w:gridCol w:w="740"/>
      </w:tblGrid>
      <w:tr>
        <w:trPr/>
        <w:tc>
          <w:tcPr>
            <w:tcW w:w="7745" w:type="dxa"/>
            <w:tcBorders/>
            <w:vAlign w:val="center"/>
          </w:tcPr>
          <w:p>
            <w:pPr>
              <w:pStyle w:val="TableContents"/>
              <w:bidi w:val="0"/>
              <w:spacing w:before="0" w:after="283"/>
              <w:jc w:val="left"/>
              <w:rPr/>
            </w:pPr>
            <w:r>
              <w:rPr/>
              <w:t> </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 No.</w:t>
            </w:r>
          </w:p>
        </w:tc>
      </w:tr>
      <w:tr>
        <w:trPr/>
        <w:tc>
          <w:tcPr>
            <w:tcW w:w="774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 of Independent Registered Public Accounting Firm (PCAOB ID: 238)</w:t>
            </w:r>
          </w:p>
        </w:tc>
        <w:tc>
          <w:tcPr>
            <w:tcW w:w="740" w:type="dxa"/>
            <w:tcBorders/>
            <w:vAlign w:val="center"/>
          </w:tcPr>
          <w:p>
            <w:pPr>
              <w:pStyle w:val="TableContents"/>
              <w:bidi w:val="0"/>
              <w:spacing w:before="0" w:after="0"/>
              <w:ind w:left="0" w:right="0" w:hanging="0"/>
              <w:jc w:val="right"/>
              <w:rPr/>
            </w:pPr>
            <w:hyperlink w:anchor="report">
              <w:r>
                <w:rPr>
                  <w:rStyle w:val="InternetLink"/>
                  <w:rFonts w:ascii="Times New Roman" w:hAnsi="Times New Roman"/>
                  <w:caps w:val="false"/>
                  <w:smallCaps w:val="false"/>
                  <w:sz w:val="20"/>
                </w:rPr>
                <w:t>F-2</w:t>
              </w:r>
            </w:hyperlink>
          </w:p>
        </w:tc>
      </w:tr>
      <w:tr>
        <w:trPr/>
        <w:tc>
          <w:tcPr>
            <w:tcW w:w="7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Balance Sheets at December 31, 2025 and 2024</w:t>
            </w:r>
          </w:p>
        </w:tc>
        <w:tc>
          <w:tcPr>
            <w:tcW w:w="7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F-4</w:t>
              </w:r>
            </w:hyperlink>
          </w:p>
        </w:tc>
      </w:tr>
      <w:tr>
        <w:trPr/>
        <w:tc>
          <w:tcPr>
            <w:tcW w:w="7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Operations for the years ended December 31, 2025, 2024 and 2023</w:t>
            </w:r>
          </w:p>
        </w:tc>
        <w:tc>
          <w:tcPr>
            <w:tcW w:w="740" w:type="dxa"/>
            <w:tcBorders/>
            <w:vAlign w:val="center"/>
          </w:tcPr>
          <w:p>
            <w:pPr>
              <w:pStyle w:val="TableContents"/>
              <w:bidi w:val="0"/>
              <w:spacing w:before="0" w:after="0"/>
              <w:ind w:left="0" w:right="0" w:hanging="0"/>
              <w:jc w:val="right"/>
              <w:rPr/>
            </w:pPr>
            <w:hyperlink w:anchor="ops">
              <w:r>
                <w:rPr>
                  <w:rStyle w:val="InternetLink"/>
                  <w:rFonts w:ascii="Times New Roman" w:hAnsi="Times New Roman"/>
                  <w:caps w:val="false"/>
                  <w:smallCaps w:val="false"/>
                  <w:sz w:val="20"/>
                </w:rPr>
                <w:t>F-5</w:t>
              </w:r>
            </w:hyperlink>
          </w:p>
        </w:tc>
      </w:tr>
      <w:tr>
        <w:trPr/>
        <w:tc>
          <w:tcPr>
            <w:tcW w:w="7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Equity for the years ended December 31, 2025, 2024 and 2023</w:t>
            </w:r>
          </w:p>
        </w:tc>
        <w:tc>
          <w:tcPr>
            <w:tcW w:w="7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F-6</w:t>
              </w:r>
            </w:hyperlink>
          </w:p>
        </w:tc>
      </w:tr>
      <w:tr>
        <w:trPr/>
        <w:tc>
          <w:tcPr>
            <w:tcW w:w="7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Cash Flows for the years ended December 31, 2025, 2024 and 2023</w:t>
            </w:r>
          </w:p>
        </w:tc>
        <w:tc>
          <w:tcPr>
            <w:tcW w:w="7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F-7</w:t>
              </w:r>
            </w:hyperlink>
          </w:p>
        </w:tc>
      </w:tr>
      <w:tr>
        <w:trPr/>
        <w:tc>
          <w:tcPr>
            <w:tcW w:w="7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Consolidated Financial Statements</w:t>
            </w:r>
          </w:p>
        </w:tc>
        <w:tc>
          <w:tcPr>
            <w:tcW w:w="7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F-8</w:t>
              </w:r>
            </w:hyperlink>
          </w:p>
        </w:tc>
      </w:tr>
      <w:tr>
        <w:trPr/>
        <w:tc>
          <w:tcPr>
            <w:tcW w:w="774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 Schedule</w:t>
            </w:r>
          </w:p>
        </w:tc>
        <w:tc>
          <w:tcPr>
            <w:tcW w:w="740"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 III - Real Estate and Accumulated Depreciation at December 31, 2025</w:t>
            </w:r>
          </w:p>
        </w:tc>
        <w:tc>
          <w:tcPr>
            <w:tcW w:w="740" w:type="dxa"/>
            <w:tcBorders/>
            <w:vAlign w:val="center"/>
          </w:tcPr>
          <w:p>
            <w:pPr>
              <w:pStyle w:val="TableContents"/>
              <w:bidi w:val="0"/>
              <w:spacing w:before="0" w:after="0"/>
              <w:ind w:left="0" w:right="0" w:hanging="0"/>
              <w:jc w:val="right"/>
              <w:rPr/>
            </w:pPr>
            <w:hyperlink w:anchor="schedule">
              <w:r>
                <w:rPr>
                  <w:rStyle w:val="InternetLink"/>
                  <w:rFonts w:ascii="Times New Roman" w:hAnsi="Times New Roman"/>
                  <w:caps w:val="false"/>
                  <w:smallCaps w:val="false"/>
                  <w:sz w:val="20"/>
                </w:rPr>
                <w:t>F-31</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9" w:name="report"/>
      <w:bookmarkEnd w:id="29"/>
      <w:r>
        <w:rPr>
          <w:rFonts w:ascii="Times New Roman" w:hAnsi="Times New Roman"/>
          <w:b/>
          <w:caps w:val="false"/>
          <w:smallCaps w:val="false"/>
          <w:sz w:val="20"/>
        </w:rPr>
        <w:t xml:space="preserve">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Board of Trustees and Shareholders of Chatham Lodging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Opinions on the Financial Statements and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audited the accompanying consolidated balance sheets of Chatham Lodging Trust and its subsidiaries (the "Company") as of December 31, 2025 and 2024, and the related consolidated statements of operations, of equity and of cash flows for each of the three years in the period ended December 31, 2025, including the related notes and financial statement schedule listed in the accompanying index (collectively referred to as the "consolidated financial statements"). We also have audited the Company's internal control over financial reporting as of December 31, 2025, based on criteria established in </w:t>
      </w:r>
      <w:r>
        <w:rPr>
          <w:rFonts w:ascii="Times New Roman" w:hAnsi="Times New Roman"/>
          <w:i/>
          <w:caps w:val="false"/>
          <w:smallCaps w:val="false"/>
          <w:sz w:val="20"/>
        </w:rPr>
        <w:t>Internal Control - Integrated Framework </w:t>
      </w:r>
      <w:r>
        <w:rPr>
          <w:rFonts w:ascii="Times New Roman" w:hAnsi="Times New Roman"/>
          <w:caps w:val="false"/>
          <w:smallCaps w:val="false"/>
          <w:sz w:val="20"/>
        </w:rPr>
        <w:t>(2013) issued by the Committee of Sponsoring Organizations of the Treadway Commission (COSO).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hAnsi="Times New Roman"/>
          <w:i/>
          <w:caps w:val="false"/>
          <w:smallCaps w:val="false"/>
          <w:sz w:val="20"/>
        </w:rPr>
        <w:t>Internal Control - Integrated Framework</w:t>
      </w:r>
      <w:r>
        <w:rPr>
          <w:rFonts w:ascii="Times New Roman" w:hAnsi="Times New Roman"/>
          <w:caps w:val="false"/>
          <w:smallCaps w:val="false"/>
          <w:sz w:val="20"/>
        </w:rPr>
        <w:t xml:space="preserve"> (2013) issued by the COSO.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the Management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Impairment Evaluation of Investments in Hotel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described in Notes 2 and 5 to the consolidated financial statements, as of December 31, 2025, the Company had an investment in hotel properties, net of $1.1 billion and for the year ended December 31, 2025, there were no impairment losses recorded. Management periodically reviews its hotel properties for impairment whenever events or changes in circumstances indicate that the carrying value of the hotel properties may not be recoverable over management’s estimated holding period. This estimated holding period incorporates management’s intent and ability to hold the hotel properties over the estimated holding period. Events or circumstances that may cause a review include, but are not limited to, adverse changes in the demand for lodging at the properties due to declining national or local economic conditions and/or new hotel construction in markets where the hotels are located. When such conditions exist and management has identified uncertainty surrounding the recoverability of the hotel property carrying value, management will perform an analysis to determine if the estimated undiscounted future cash flows, without interest charges, from operations and the estimated proceeds from the ultimate disposition of a hotel property exceed its carrying value. If the estimated undiscounted future cash flows are less than the carrying amount, an adjustment to reduce the carrying amount to the related hotel property's estimated fair value is recorded and an impairment loss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principal considerations for our determination that performing procedures relating to the impairment evaluation of investments in hotel properties is a critical audit matter are the significant judgments by management when evaluating whether events or changes in circumstances indicate that the carrying value of the hotel properties may not be recoverable over management’s estimated holding period. This in turn led to a high degree of auditor judgment and subjectivity in performing procedures and evaluating audit evidence relating to management’s intent and ability to hold its hotel properties and management’s assessment of economic conditions of the Company’s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Addressing the matter involved performing procedures and evaluating audit evidence in connection with forming our overall opinion on the consolidated financial statements. These procedures included testing the effectiveness of controls relating to the impairment evaluation of the Company’s investments in hotel properties, including controls over management’s evaluation of whether events or changes in circumstances indicate that the carrying value of hotel properties may not be recoverable. These procedures also included, among others, testing management’s process for evaluating whether events or changes in circumstances indicate that the carrying value may not be recoverable. Testing management’s process included evaluating management’s intent and ability to hold its hotel properties over the estimated holding period, evaluating management’s assessment of economic conditions, and considering whether the assessment of economic conditions of the Company’s hotels were consistent with external industry data and evidence obtained in other areas of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PricewaterhouseCoopers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Miami, Florida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served as the Company’s auditor since 2009.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0" w:name="bs"/>
      <w:bookmarkEnd w:id="30"/>
      <w:r>
        <w:rPr>
          <w:rFonts w:ascii="Times New Roman" w:hAnsi="Times New Roman"/>
          <w:b/>
          <w:caps w:val="false"/>
          <w:smallCaps w:val="false"/>
          <w:sz w:val="20"/>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03"/>
        <w:gridCol w:w="60"/>
        <w:gridCol w:w="136"/>
        <w:gridCol w:w="924"/>
        <w:gridCol w:w="80"/>
        <w:gridCol w:w="60"/>
        <w:gridCol w:w="136"/>
        <w:gridCol w:w="924"/>
        <w:gridCol w:w="82"/>
      </w:tblGrid>
      <w:tr>
        <w:trPr/>
        <w:tc>
          <w:tcPr>
            <w:tcW w:w="7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hotel properties, net</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1,197,518</w:t>
            </w:r>
          </w:p>
        </w:tc>
        <w:tc>
          <w:tcPr>
            <w:tcW w:w="82"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20,195</w:t>
            </w:r>
          </w:p>
        </w:tc>
        <w:tc>
          <w:tcPr>
            <w:tcW w:w="82"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9,649</w:t>
            </w:r>
          </w:p>
        </w:tc>
        <w:tc>
          <w:tcPr>
            <w:tcW w:w="82"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 net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17,547</w:t>
            </w:r>
          </w:p>
        </w:tc>
        <w:tc>
          <w:tcPr>
            <w:tcW w:w="82"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 receivables (net of allowance for doubtful accounts of $261 and $300, respectively)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w:t>
            </w:r>
          </w:p>
        </w:tc>
        <w:tc>
          <w:tcPr>
            <w:tcW w:w="82"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costs, net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w:t>
            </w:r>
          </w:p>
        </w:tc>
        <w:tc>
          <w:tcPr>
            <w:tcW w:w="82"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2,813</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1,170,381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1,254,681</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157,211</w:t>
            </w:r>
          </w:p>
        </w:tc>
        <w:tc>
          <w:tcPr>
            <w:tcW w:w="82"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110,000</w:t>
            </w:r>
          </w:p>
        </w:tc>
        <w:tc>
          <w:tcPr>
            <w:tcW w:w="82"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Unsecured term loan, net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139,638</w:t>
            </w:r>
          </w:p>
        </w:tc>
        <w:tc>
          <w:tcPr>
            <w:tcW w:w="82"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 (including $234 and $490 due to related parties, respectively)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29,621</w:t>
            </w:r>
          </w:p>
        </w:tc>
        <w:tc>
          <w:tcPr>
            <w:tcW w:w="82"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20,634</w:t>
            </w:r>
          </w:p>
        </w:tc>
        <w:tc>
          <w:tcPr>
            <w:tcW w:w="82"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payable</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392,332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462,684</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(see note 13)</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shares, $0.01 par value, 100,000,000 shares authorized; 4,800,000 and 4,800,000 shares issued and outstanding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2"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$0.01 par value, 500,000,000 shares authorized; 47,708,587 and 48,912,293 shares issued and outstanding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82"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1,039,804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1,046,812</w:t>
            </w:r>
          </w:p>
        </w:tc>
        <w:tc>
          <w:tcPr>
            <w:tcW w:w="82"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(299,527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(289,130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03" w:type="dxa"/>
            <w:tcBorders/>
            <w:shd w:fill="CCEE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740,802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758,219</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in operating partnership</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33,778</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778,049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791,997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1,170,381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1,254,681</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1" w:name="ops"/>
      <w:bookmarkEnd w:id="31"/>
      <w:r>
        <w:rPr>
          <w:rFonts w:ascii="Times New Roman" w:hAnsi="Times New Roman"/>
          <w:b/>
          <w:caps w:val="false"/>
          <w:smallCaps w:val="false"/>
          <w:sz w:val="20"/>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8900" w:type="dxa"/>
        <w:jc w:val="left"/>
        <w:tblInd w:w="0" w:type="dxa"/>
        <w:tblLayout w:type="fixed"/>
        <w:tblCellMar>
          <w:top w:w="0" w:type="dxa"/>
          <w:left w:w="0" w:type="dxa"/>
          <w:bottom w:w="0" w:type="dxa"/>
          <w:right w:w="0" w:type="dxa"/>
        </w:tblCellMar>
      </w:tblPr>
      <w:tblGrid>
        <w:gridCol w:w="5255"/>
        <w:gridCol w:w="60"/>
        <w:gridCol w:w="125"/>
        <w:gridCol w:w="950"/>
        <w:gridCol w:w="80"/>
        <w:gridCol w:w="60"/>
        <w:gridCol w:w="125"/>
        <w:gridCol w:w="950"/>
        <w:gridCol w:w="80"/>
        <w:gridCol w:w="60"/>
        <w:gridCol w:w="125"/>
        <w:gridCol w:w="950"/>
        <w:gridCol w:w="80"/>
      </w:tblGrid>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5"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284,999</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8,124</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16,703</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Reimbursable costs from related parties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317,209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61,794</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6,352</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hotel operating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3,712</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28,884</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and marketing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24,897</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and promotions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6,085</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13,007</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Repairs and maintenance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15,837</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fees paid to related parties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10,557</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hotel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175,386</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58,254</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4,266</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taxes, ground rent and insurance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23,507</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17,517</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Reimbursable costs from related parties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289,702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282,513</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before gain on sale of hotel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28,596</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28,614</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deferred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early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partial lease termination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Chatham Lodging Trust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dividends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per common share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 (Note 10)</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per common share -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 (Note 10)</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48,793,017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48,900,997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48,847,386</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49,992,069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48,900,997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48,847,386</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2" w:name="equity"/>
      <w:bookmarkEnd w:id="32"/>
      <w:r>
        <w:rPr>
          <w:rFonts w:ascii="Times New Roman" w:hAnsi="Times New Roman"/>
          <w:b/>
          <w:caps w:val="false"/>
          <w:smallCaps w:val="false"/>
          <w:sz w:val="20"/>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Equity</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5"/>
        <w:gridCol w:w="60"/>
        <w:gridCol w:w="60"/>
        <w:gridCol w:w="740"/>
        <w:gridCol w:w="60"/>
        <w:gridCol w:w="60"/>
        <w:gridCol w:w="184"/>
        <w:gridCol w:w="436"/>
        <w:gridCol w:w="60"/>
        <w:gridCol w:w="60"/>
        <w:gridCol w:w="60"/>
        <w:gridCol w:w="830"/>
        <w:gridCol w:w="80"/>
        <w:gridCol w:w="60"/>
        <w:gridCol w:w="170"/>
        <w:gridCol w:w="450"/>
        <w:gridCol w:w="80"/>
        <w:gridCol w:w="60"/>
        <w:gridCol w:w="110"/>
        <w:gridCol w:w="740"/>
        <w:gridCol w:w="80"/>
        <w:gridCol w:w="60"/>
        <w:gridCol w:w="139"/>
        <w:gridCol w:w="841"/>
        <w:gridCol w:w="80"/>
        <w:gridCol w:w="60"/>
        <w:gridCol w:w="157"/>
        <w:gridCol w:w="871"/>
        <w:gridCol w:w="80"/>
        <w:gridCol w:w="60"/>
        <w:gridCol w:w="204"/>
        <w:gridCol w:w="956"/>
        <w:gridCol w:w="80"/>
        <w:gridCol w:w="60"/>
        <w:gridCol w:w="110"/>
        <w:gridCol w:w="605"/>
        <w:gridCol w:w="97"/>
      </w:tblGrid>
      <w:tr>
        <w:trPr/>
        <w:tc>
          <w:tcPr>
            <w:tcW w:w="1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Noncontrolling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Interest 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 - 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Operating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Partnership</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4,800,000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48,808,105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1,047,023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(252,665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794,894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23,103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817,997</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shares pursuant to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540</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shares, net of offering costs of $2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w:t>
            </w:r>
          </w:p>
        </w:tc>
        <w:tc>
          <w:tcPr>
            <w:tcW w:w="97"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time-based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share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5,647</w:t>
            </w:r>
          </w:p>
        </w:tc>
        <w:tc>
          <w:tcPr>
            <w:tcW w:w="97"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declared on common shares ($0.28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(13,680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(13,680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(13,680</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Distributions declared on LTIP units ($0.28 per unit)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(725</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accrued on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(7,950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(7,950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(7,950</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Reallocation of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2,488</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4,800,000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48,859,836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1,047,176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(271,651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776,061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28,315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804,376</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shares pursuant to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471</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shares, net of offering costs of $278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time-based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share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5,835</w:t>
            </w:r>
          </w:p>
        </w:tc>
        <w:tc>
          <w:tcPr>
            <w:tcW w:w="97"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declared on common shares ($0.28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(13,695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(13,695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(13,695</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Distributions declared on LTIP units ($0.28 per unit)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(858</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Forfeited distributions on LTIP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accrued on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(7,950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(7,950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(7,950</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Reallocation of 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4,035</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4,800,000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48,912,293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1,046,812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(289,130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758,219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33,778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791,997</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shares pursuant to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563</w:t>
            </w:r>
          </w:p>
        </w:tc>
        <w:tc>
          <w:tcPr>
            <w:tcW w:w="97"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shares, net of offering costs of $0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7,630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Conversion of LTIP units to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time-based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(1,314,327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(8,958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(8,971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(8,971</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share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5,783</w:t>
            </w:r>
          </w:p>
        </w:tc>
        <w:tc>
          <w:tcPr>
            <w:tcW w:w="97"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declared on common shares ($0.36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(17,500</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Distributions declared on LTIP units ($0.36 per unit)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(1,288</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Forfeited distributions on LTIP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w:t>
            </w:r>
          </w:p>
        </w:tc>
        <w:tc>
          <w:tcPr>
            <w:tcW w:w="97"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Dividends accrued on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(7,950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(7,950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(7,950</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Reallocation of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15,313</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4,800,000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47,708,587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1,039,804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(299,527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740,802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37,247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778,049</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3" w:name="cf"/>
      <w:bookmarkEnd w:id="33"/>
      <w:r>
        <w:rPr>
          <w:rFonts w:ascii="Times New Roman" w:hAnsi="Times New Roman"/>
          <w:b/>
          <w:caps w:val="false"/>
          <w:smallCaps w:val="false"/>
          <w:sz w:val="20"/>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680" w:type="dxa"/>
        <w:jc w:val="left"/>
        <w:tblInd w:w="0" w:type="dxa"/>
        <w:tblLayout w:type="fixed"/>
        <w:tblCellMar>
          <w:top w:w="0" w:type="dxa"/>
          <w:left w:w="0" w:type="dxa"/>
          <w:bottom w:w="0" w:type="dxa"/>
          <w:right w:w="0" w:type="dxa"/>
        </w:tblCellMar>
      </w:tblPr>
      <w:tblGrid>
        <w:gridCol w:w="6620"/>
        <w:gridCol w:w="60"/>
        <w:gridCol w:w="125"/>
        <w:gridCol w:w="755"/>
        <w:gridCol w:w="80"/>
        <w:gridCol w:w="60"/>
        <w:gridCol w:w="125"/>
        <w:gridCol w:w="755"/>
        <w:gridCol w:w="80"/>
        <w:gridCol w:w="60"/>
        <w:gridCol w:w="125"/>
        <w:gridCol w:w="755"/>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of investment in hotel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58,040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franchise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fees included in 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 of hotel development costs included in other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2,238</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early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write-off of deferred franchise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partial lease termination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73,825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76,442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Improvements and additions to hotel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hotel properties,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hotel properties,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franchise application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on revolving credit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on revolving credit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on construction loan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on unsecured term loan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on unsecured term loan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mortgage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issuance of mortgage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82,925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finance lease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financing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offering costs on common shares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In-substance repurchase of vested common shares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 common shares/units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 preferred shares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40,596</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29,844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Remeasurement of right of use asset from partial lease termination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Remeasurement of lease liability from partial lease termination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 of non-cash investing and financing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issued 61,699 shares to its independent trustees pursuant to the Company’s Equity Incentive Plan as compensation for services performed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January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issued 61,551 shares to its independent trustees pursuant to the Company’s Equity Incentive Plan as compensation for services performed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January 16, 2024</w:t>
      </w:r>
      <w:r>
        <w:rPr>
          <w:rFonts w:ascii="Times New Roman" w:hAnsi="Times New Roman"/>
          <w:caps w:val="false"/>
          <w:smallCaps w:val="false"/>
          <w:sz w:val="20"/>
        </w:rPr>
        <w:t xml:space="preserve">, the Company issued 43,670 shares to its independent trustees pursuant to the Company's Equity Incentive Plan as compensation for services performed in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had accrued distributions payable of $6.7 million. As of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Company had accrued distributions payable of $5.6 million.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had accrued distributions payable of $5.4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pPr>
      <w:r>
        <w:rPr>
          <w:rFonts w:ascii="Times New Roman" w:hAnsi="Times New Roman"/>
          <w:caps w:val="false"/>
          <w:smallCaps w:val="false"/>
          <w:sz w:val="20"/>
        </w:rPr>
        <w:t xml:space="preserve">Accrued share based compensation of $0.4 million, $0.6 million and $0.5 million is included in accounts payable and accrued expenses as of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pPr>
      <w:r>
        <w:rPr>
          <w:rFonts w:ascii="Times New Roman" w:hAnsi="Times New Roman"/>
          <w:caps w:val="false"/>
          <w:smallCaps w:val="false"/>
          <w:sz w:val="20"/>
        </w:rPr>
        <w:t xml:space="preserve">Accrued capital improvements of $2.0 million, $1.6 million and $1.3 million are included in accounts payable and accrued expenses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4" w:name="notes"/>
      <w:bookmarkEnd w:id="34"/>
      <w:r>
        <w:rPr>
          <w:rFonts w:ascii="Times New Roman" w:hAnsi="Times New Roman"/>
          <w:b/>
          <w:caps w:val="false"/>
          <w:smallCaps w:val="false"/>
          <w:sz w:val="20"/>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(Dollar amounts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330" w:type="dxa"/>
        <w:jc w:val="left"/>
        <w:tblInd w:w="0" w:type="dxa"/>
        <w:tblLayout w:type="fixed"/>
        <w:tblCellMar>
          <w:top w:w="0" w:type="dxa"/>
          <w:left w:w="0" w:type="dxa"/>
          <w:bottom w:w="0" w:type="dxa"/>
          <w:right w:w="0" w:type="dxa"/>
        </w:tblCellMar>
      </w:tblPr>
      <w:tblGrid>
        <w:gridCol w:w="170"/>
        <w:gridCol w:w="116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w:t>
            </w:r>
          </w:p>
        </w:tc>
        <w:tc>
          <w:tcPr>
            <w:tcW w:w="11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Chatham Lodging Trust (“we,” “us” or the “Company”) was formed as a Maryland real estate investment trust on </w:t>
      </w:r>
      <w:r>
        <w:rPr>
          <w:rStyle w:val="Emphasis"/>
          <w:rFonts w:ascii="Times New Roman" w:hAnsi="Times New Roman"/>
          <w:caps w:val="false"/>
          <w:smallCaps w:val="false"/>
          <w:sz w:val="20"/>
        </w:rPr>
        <w:t>October 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2009.</w:t>
      </w:r>
      <w:r>
        <w:rPr>
          <w:rFonts w:ascii="Times New Roman" w:hAnsi="Times New Roman"/>
          <w:caps w:val="false"/>
          <w:smallCaps w:val="false"/>
          <w:sz w:val="20"/>
        </w:rPr>
        <w:t xml:space="preserve"> The Company is internally-managed and invests primarily in upscale extended-stay and premium-branded select-service hotels. The Company has elected to be treated as a real estate investment trust for federal income tax purposes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operations prior to the consummation of its initial public offering ("IPO") in </w:t>
      </w:r>
      <w:r>
        <w:rPr>
          <w:rStyle w:val="Emphasis"/>
          <w:rFonts w:ascii="Times New Roman" w:hAnsi="Times New Roman"/>
          <w:caps w:val="false"/>
          <w:smallCaps w:val="false"/>
          <w:sz w:val="20"/>
        </w:rPr>
        <w:t xml:space="preserve">April 2010. </w:t>
      </w:r>
      <w:r>
        <w:rPr>
          <w:rFonts w:ascii="Times New Roman" w:hAnsi="Times New Roman"/>
          <w:caps w:val="false"/>
          <w:smallCaps w:val="false"/>
          <w:sz w:val="20"/>
        </w:rPr>
        <w:t>The net proceeds from our share offerings are contributed to Chatham Lodging, L.P., our operating partnership (the “Operating Partnership”), in exchange for partnership interests. Substantially all of the Company’s assets are held by, and all operations are conducted through, the Operating Partnership. The Company is the sole general partner of the Operating Partnership and owns 100% of the common units of limited partnership interest in the Operating Partnership ("common units"). Certain of the Company’s executive officers hold vested and unvested long-term incentive plan units in the Operating Partnership ("LTIP units"), which are presented as non-controlling interests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 owned 33 hotels with an aggregate of 5,021 (unaudited) rooms located in 15 states and the District of Columbia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To qualify as a REIT, the Company cannot operate its hotels. Therefore, the Operating Partnership and its subsidiaries lease the Company's hotels to taxable REIT subsidiary lessees (“TRS Lessees”), which are wholly owned by the Company’s taxable REIT subsidiary (“TRS”) holding company. Each hotel is leased to a TRS Lessee under a percentage lease that provides for rental payments equal to the greater of (i) a fixed base rent amount or (ii) a percentage rent based on hotel revenue. Lease revenue from each TRS Lessee is eliminated in consolidation. The TRS Lessees have entered into management agreements with a </w:t>
      </w:r>
      <w:r>
        <w:rPr>
          <w:rStyle w:val="Emphasis"/>
          <w:rFonts w:ascii="Times New Roman" w:hAnsi="Times New Roman"/>
          <w:caps w:val="false"/>
          <w:smallCaps w:val="false"/>
          <w:sz w:val="20"/>
        </w:rPr>
        <w:t>third</w:t>
      </w:r>
      <w:r>
        <w:rPr>
          <w:rFonts w:ascii="Times New Roman" w:hAnsi="Times New Roman"/>
          <w:caps w:val="false"/>
          <w:smallCaps w:val="false"/>
          <w:sz w:val="20"/>
        </w:rPr>
        <w:t>-party management company that provides day-to-day management for the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Island Hospitality Management, LLC (“IHM”), which is 100% owned by Jeffrey H. Fisher, the Company's Chairman, President and Chief Executive Officer, managed all of the Company’s hotels.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2.</w:t>
            </w:r>
          </w:p>
        </w:tc>
        <w:tc>
          <w:tcPr>
            <w:tcW w:w="3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and related notes have been prepared in accordance with U.S. generally accepted accounting principles (“GAAP”) and in conformity with the rules and regulations of the Securities and Exchange Commission (“SEC”). These consolidated financial statements, in the opinion of management, include all adjustments consisting of normal, recurring adjustments which are considered necessary for a fair statement of the consolidated balance sheets, consolidated statements of operations, consolidated statements of equity, and consolidated statements of cash flows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include all of the accounts of the Company, the Operating Partnership (a variable interest entity) and its wholly owned subsidiaries. All intercompany balances and transactions are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at the balance sheet date and the reported amounts of revenues and expenses during the reporting periods.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financial instruments include cash and cash equivalents, restricted cash, hotel receivables, accounts payable and accrued expenses, distributions payable, mortgage debt, revolving credit facility and unsecured term loan. Due to their relatively short maturities, the carrying values reported in the consolidated balance sheets for these financial instruments approximate fair value except for mortgage debt, the revolving credit facility, the construction loan, and the unsecured term loan, the fair value of which is separately disclosed in Note </w:t>
      </w:r>
      <w:r>
        <w:rPr>
          <w:rStyle w:val="Emphasis"/>
          <w:rFonts w:ascii="Times New Roman" w:hAnsi="Times New Roman"/>
          <w:caps w:val="false"/>
          <w:smallCaps w:val="false"/>
          <w:sz w:val="2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72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Investment in Hotel Properties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allocates the purchase prices of hotel properties acquired as asset acquisitions based on the fair value of the acquired real estate, furniture, fixtures and equipment, identifiable intangible assets and assumed liabilities. In making estimates of fair value for purposes of allocating the purchase price, the Company utilizes a number of sources of information that are obtained in connection with the acquisition of a hotel property, including valuations performed by independent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and information obtained about each hotel property resulting from pre-acquisition due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investments in hotel properties are carried at cost and are depreciated using the straight-line method over the estimated useful lives of the assets, generally 40 years for buildings, 20 years for land improvements, 5 to 20 years for building improvements and one to ten years for furniture, fixtures and equipment. Renovations and/or replacements at the hotel properties that improve or extend the life of the assets are capitalized and depreciated over their useful lives, while repairs and maintenance are expensed as incurred. Upon the sale or retirement of property and equipment, the cost and related accumulated depreciation are removed from the Company’s accounts and any resulting gain or loss is recognized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Management periodically reviews its hotel properties for impairment whenever events or changes in circumstances indicate that the carrying value of the hotel properties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over management's estimated holding period. This estimated holding period incorporates management’s intent and ability to hold the hotel properties over the estimated holding period. Events or circumstances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cause a review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adverse changes in the demand for lodging at the properties due to declining national or local economic conditions and/or new hotel construction in markets where the hotels are located. When such conditions exist and management has identified uncertainty surrounding the recoverability of the hotel property carrying value, management will perform an analysis to determine if the estimated undiscounted future cash flows, without interest charges, from operations and the estimated proceeds from the ultimate disposition of a hotel property exceed its carrying value. If the estimated undiscounted future cash flows are less than the carrying amount, an adjustment to reduce the carrying amount to the related hotel property's estimated fair value is recorded and an impairment loss recognized.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there were no impairment losses.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Company incurred an impairment loss on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hotel property.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incurred an impairment loss on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hotel property (See Note </w:t>
      </w:r>
      <w:r>
        <w:rPr>
          <w:rStyle w:val="Emphasis"/>
          <w:rFonts w:ascii="Times New Roman" w:hAnsi="Times New Roman"/>
          <w:caps w:val="false"/>
          <w:smallCaps w:val="false"/>
          <w:sz w:val="20"/>
        </w:rPr>
        <w:t>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properties the Company considers held for sale, depreciation and amortization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recorded, and the value of the properties is recorded at the lower of depreciated cost or fair value, less the costs to sell. If circumstances arise that were previously considered unlikely, and, as a result, the Company decides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sell a property previously classified as held for sale, the Company will reclassify such property as held and used. Such property is measured at the lower of its carrying amount (adjusted for any depreciation and amortization expense that would have been recognized had the property been continuously classified as held and used) or fair value at the date of the subsequent decision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sell. The Company classifies properties as held for sale when all criteria within the Financial Accounting Standards Board's ("FASB") guidance on disposal of long-lived assets are met.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had no hotel properties that met the criteria to be presented as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Cash and Cash Equivalents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Cash and cash equivalents consist of cash on hand, demand deposits with financial institutions and short term liquid investments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Cash balances in individual banks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exceed federally insurable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Restricted Cash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Restricted cash represents purchase price deposits held in escrow for potential hotel acquisitions under contract, escrows and reserves for capital expenditures, and property taxes or insurance that are required pursuant to the Company’s loans. Restricted cash on the accompanying consolidated balance sheets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is $8.2 million and $9.6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Hotel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Hotel receivables consist of amounts owed by guests staying in the hotels and amounts due from business and group customers. An allowance for doubtful accounts is provided and maintained at a level believed to be adequate to absorb estimated probable losses.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allowance for doubtful accounts was $0.3 million and $0.3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Prepaid Expenses and Other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prepaid expenses and other assets consist of prepaid insurance, prepaid property taxes, deposits and hotel supplies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 xml:space="preserve">Deferred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Deferred costs consist of franchise agreement application fees for the Company’s hotels, costs associated with potential future acquisitions and loan costs related to the Company’s senior unsecured revolving credit facility. Deferred costs consisted of the following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6038" w:type="dxa"/>
        <w:jc w:val="left"/>
        <w:tblInd w:w="0" w:type="dxa"/>
        <w:tblLayout w:type="fixed"/>
        <w:tblCellMar>
          <w:top w:w="0" w:type="dxa"/>
          <w:left w:w="0" w:type="dxa"/>
          <w:bottom w:w="0" w:type="dxa"/>
          <w:right w:w="0" w:type="dxa"/>
        </w:tblCellMar>
      </w:tblPr>
      <w:tblGrid>
        <w:gridCol w:w="2540"/>
        <w:gridCol w:w="60"/>
        <w:gridCol w:w="280"/>
        <w:gridCol w:w="1329"/>
        <w:gridCol w:w="80"/>
        <w:gridCol w:w="60"/>
        <w:gridCol w:w="280"/>
        <w:gridCol w:w="1329"/>
        <w:gridCol w:w="8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6,323</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fees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4,961</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11,618</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costs, net</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Franchise fees are recorded at cost and amortized over a straight-line basis over the term of the franchise agreements.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amortization expense related to franchise fees of $0.2 million, $0.2 million and $0.2 million, respectively, is included in depreciation and amortization in the consolidated statements of operations. Amortization expense related to loan costs of $0.8 million, $0.7 million and $0.7 million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 is included in interest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Mortgage Debt,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Mortgage debt, net consists of mortgage loans on certain hotel properties less the costs associated with acquiring those loans. Mortgage debt consisted of the following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firstLine="720"/>
        <w:jc w:val="both"/>
        <w:rPr>
          <w:caps w:val="false"/>
          <w:smallCaps w:val="false"/>
        </w:rPr>
      </w:pPr>
      <w:r>
        <w:rPr>
          <w:caps w:val="false"/>
          <w:smallCaps w:val="false"/>
        </w:rPr>
        <w:t> </w:t>
      </w:r>
    </w:p>
    <w:tbl>
      <w:tblPr>
        <w:tblW w:w="5483" w:type="dxa"/>
        <w:jc w:val="left"/>
        <w:tblInd w:w="0" w:type="dxa"/>
        <w:tblLayout w:type="fixed"/>
        <w:tblCellMar>
          <w:top w:w="0" w:type="dxa"/>
          <w:left w:w="0" w:type="dxa"/>
          <w:bottom w:w="0" w:type="dxa"/>
          <w:right w:w="0" w:type="dxa"/>
        </w:tblCellMar>
      </w:tblPr>
      <w:tblGrid>
        <w:gridCol w:w="1985"/>
        <w:gridCol w:w="60"/>
        <w:gridCol w:w="243"/>
        <w:gridCol w:w="1366"/>
        <w:gridCol w:w="80"/>
        <w:gridCol w:w="60"/>
        <w:gridCol w:w="243"/>
        <w:gridCol w:w="1366"/>
        <w:gridCol w:w="80"/>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debt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159,182</w:t>
            </w:r>
          </w:p>
        </w:tc>
        <w:tc>
          <w:tcPr>
            <w:tcW w:w="8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financing costs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141,475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Deferred financing loan costs are recorded at cost and amortized over the term of the loan applying the effective interest rate method.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amortization expense related to mortgage loan costs of $0.2 million, $0.3 million, and $0.3 million, respectively, is included in interest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Unsecured Term Loan,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Unsecured term loan, net consists of the Company's outstanding borrowings under its unsecured term loan less the costs associated with acquiring the loan. The balances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528" w:type="dxa"/>
        <w:jc w:val="left"/>
        <w:tblInd w:w="0" w:type="dxa"/>
        <w:tblLayout w:type="fixed"/>
        <w:tblCellMar>
          <w:top w:w="0" w:type="dxa"/>
          <w:left w:w="0" w:type="dxa"/>
          <w:bottom w:w="0" w:type="dxa"/>
          <w:right w:w="0" w:type="dxa"/>
        </w:tblCellMar>
      </w:tblPr>
      <w:tblGrid>
        <w:gridCol w:w="2030"/>
        <w:gridCol w:w="60"/>
        <w:gridCol w:w="243"/>
        <w:gridCol w:w="1366"/>
        <w:gridCol w:w="80"/>
        <w:gridCol w:w="60"/>
        <w:gridCol w:w="243"/>
        <w:gridCol w:w="1366"/>
        <w:gridCol w:w="80"/>
      </w:tblGrid>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Unsecured term loan</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140,000</w:t>
            </w:r>
          </w:p>
        </w:tc>
        <w:tc>
          <w:tcPr>
            <w:tcW w:w="8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financing costs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Unsecured term loan, net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Deferred financing loan costs are recorded at cost and amortized over the term of the loan applying the effective interest rate method.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amortization expense related to unsecured term loan costs of $0.5 million, $0.4 million, and $0.2 million, respectively, is included in interest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 xml:space="preserve">Revenue Recognition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from hotel operations is recognized when rooms are occupied and when services are provided. Revenue consists of amounts derived from hotel operations, including sales from room, meeting room, gift shop, in-room movie and other ancillary amenities. Sales, use, occupancy, and similar taxes are collected and presented on a net basis (excluded from revenue) in the accompanying consolidated statements of operations. Cash received prior to customer arrival is recorded as an advanced deposit from the customer and is recognized as revenue at the time of occupancy.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Room revenue is generated through short-term contracts with customers whereby customers agree to pay a daily rate for the right to occupy hotel rooms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nights. Our performance obligations are fulfilled at the end of each night that the customers have the right to occupy the rooms. Room revenues are recognized daily at the contracted room rate in effect for each room night.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Food and beverage revenues are generated when customers purchase food and beverage at a hotel's restaurant, bar or other facilities. Our performance obligations are fulfilled at the time that food and beverage is purchased and provided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revenues such as for parking, cancellation fees, meeting space or telephone services are recognized at the point in time or over the time period that the associated good or service is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 xml:space="preserve">Share-Based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measures compensation expense for the restricted share awards based upon the fair market value of its common shares at the date of grant. The Company measures compensation expense for the LTIP and Class A Performance units based upon the Monte Carlo approach using volatility, dividend yield and a risk free interest rate in the valuation. Compensation expense is recognized on a straight-line basis over the vesting period and is included in general and administrative expense in the accompanying consolidated statements of operations. The Company pays dividends on vested and non-vested restricted shares, except for performance-based shares, for which dividends on unvested shares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paid until those shares are vested. The Company has also issued Class A Performance LTIP units from time to time as part of its compensation practices. Prior to vesting, holders of Class A Performance LTIP Units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entitled to vote their Class A Performance LTIP units. In addition, under the terms of the Class A Performance LTIP units, a holder of a Class A Performance LTIP unit will generally (i) be entitled to receive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distributions made on a common unit of the Operating Partnership during the period prior to vesting of such Class A Performance LTIP unit (the “Pre-Vesting Distributions”), (ii) be entitled, upon the vesting of such Class A Performance LTIP unit, to receive a special </w:t>
      </w:r>
      <w:r>
        <w:rPr>
          <w:rStyle w:val="Emphasis"/>
          <w:rFonts w:ascii="Times New Roman" w:hAnsi="Times New Roman"/>
          <w:caps w:val="false"/>
          <w:smallCaps w:val="false"/>
          <w:sz w:val="20"/>
        </w:rPr>
        <w:t>one</w:t>
      </w:r>
      <w:r>
        <w:rPr>
          <w:rFonts w:ascii="Times New Roman" w:hAnsi="Times New Roman"/>
          <w:caps w:val="false"/>
          <w:smallCaps w:val="false"/>
          <w:sz w:val="20"/>
        </w:rPr>
        <w:t>-time “catch-up” distribution equal to the aggregate amount of distributions that were paid on a common unit during the period prior to vesting of such Class A Performance LTIP unit minus the aggregate amount of Pre-Vesting Distributions paid on such Class A Performance LTIP unit, and (iii) be entitled, following the vesting of such Class A Performance LTIP unit, to receive the same amount of distributions paid on a common unit of the Operating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 xml:space="preserve">Earnings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class method is used to determine earnings per share. Basic earnings per share ("EPS") is computed by dividing net income (loss) available for common shareholders, adjusted for dividends on unvested share grants, by the weighted average number of common shares outstanding for the period. Diluted EPS is computed by dividing net income (loss) available for common shareholders, adjusted for dividends or distributions, on unvested share grants and LTIP units, by the weighted average number of common shares outstanding plus potentially dilutive securities such as share grants or shares issuable in the event of conversion of common units.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adjustment is made for shares that are anti-dilutive during the period. The Company’s restricted share awards and LTIP units that are subject solely to time-based vesting conditions are entitled to receive dividends or distributions on the Company's common shares or the Operating Partnership's common units, respectively, if declared. In addition, dividends on the Class A Performance LTIP units are paid the equivalent of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declared dividends on the Company's common shares. The rights to these dividends or distributions declared are non-forfeitable. As a result, the unvested restricted shares and LTIP units that are subject solely to time-based vesting conditions, as well as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unvested Class A Performance LTIP units, qualify as participating securities requiring the allocation of earnings under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to calculate EPS. The percentage of earnings allocated to these participating securities is based on the proportion of the weighted average of these outstanding participating securities to the sum of the basic weighted average common shares outstanding and the weighted average of these outstanding participating securities. Basic EPS is then computed by dividing income less earnings allocable to these participating securities by the basic weighted average number of shares outstanding. Diluted EPS is computed similar to basic EPS, except the weighted average number of shares outstanding is increased to include the effect of potentially dilutive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elected to be taxed as a REIT for federal income tax purposes. In order to qualify as a REIT under the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the Company must meet certain organizational and operational requirements, including a requirement to distribute at least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its annual REIT taxable income to its shareholders (which is computed without regard to the dividends paid deduction or net capital gain and which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equal net income as calculated in accordance with GAAP). As a REIT, the Company generally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subject to federal income tax to the extent the Company distributes its REIT taxable income to its shareholders. If the Company fails to qualify as a REIT in any taxable year, the Company will be subject to federal income tax on its REIT taxable income at regular corporate income tax rates and generally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permitted to qualify for treatment as a REIT for federal income tax purposes for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taxable years following the year during which qualification is lost unless the IRS grants the Company relief under certain statutory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leases its wholly owned hotels to TRS Lessees, which are wholly owned by the Company’s taxable REIT subsidiary (a “TRS”) which, in turn is wholly owned by the Operating Partnership. The TRS is subject to federal and state income taxes and the Company accounts for taxes, where applicable, in accordance with the provisions of FASB Accounting Standards Codification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using the asset and liability method which recognizes deferred tax assets and liabilities for future tax consequences arising from differences between financial statement carrying amounts and income tax bases.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accounts for income taxes using the asset and liability method. Under this method, deferred tax assets and liabilities are recognized for the estimated future tax consequences attributable to the differences between the financial statement carrying amounts of existing assets and liabilities and their respective income tax bases, and for net operating loss, capital loss and tax credit carryforwards. The deferred tax assets and liabilities are measured using the enacted income tax rates in effect for the year in which those temporary differences are expected to be realized or settled. The effect on the deferred tax assets and liabilities from a change in tax rates is recognized in earnings in the period when the new rate is enacted. However, deferred tax assets are recognized only to the extent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they will be realized based on consideration of all available evidence, including the future reversals of existing taxable temporary differences, future projected taxable income and tax planning strategies. Valuation allowances are provided if, based upon the weight of the available evidence,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some or all of the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The Company performs an annual review for any uncertain tax positions and, if necessary, will record the expected future tax consequences of uncertain tax positions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U.S federal income tax examinations for years before 2022 and with few exceptions to state examinations before 2022. The Company evaluates whether a tax position of the Company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upon examination, including resolution of any related appeals or litigation processes, based on the technical merits of the position. For tax positions meeting the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threshold, the tax amount recognized in the financial statements is reduced by the largest benefit that has a greater than </w:t>
      </w:r>
      <w:r>
        <w:rPr>
          <w:rStyle w:val="Emphasis"/>
          <w:rFonts w:ascii="Times New Roman" w:hAnsi="Times New Roman"/>
          <w:caps w:val="false"/>
          <w:smallCaps w:val="false"/>
          <w:sz w:val="20"/>
        </w:rPr>
        <w:t>fifty</w:t>
      </w:r>
      <w:r>
        <w:rPr>
          <w:rFonts w:ascii="Times New Roman" w:hAnsi="Times New Roman"/>
          <w:caps w:val="false"/>
          <w:smallCaps w:val="false"/>
          <w:sz w:val="20"/>
        </w:rPr>
        <w:t xml:space="preserve"> percent likelihood of being realized upon ultimate settlement with the relevant taxing authority. The Company has reviewed its tax positions for open tax years and has concluded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provision for income taxes is required in the Company's consolidated financial statements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Interest and penalties related to uncertain tax benefits, if any, in the future will be recognized as operating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Management evaluates the Company's hotels as a single reportable segment as a result of aggregating multiple operating segments, because all of the Company's hotels have similar economic characteristics and provide similar services to similar types of customers (See Note </w:t>
      </w:r>
      <w:r>
        <w:rPr>
          <w:rStyle w:val="Emphasis"/>
          <w:rFonts w:ascii="Times New Roman" w:hAnsi="Times New Roman"/>
          <w:caps w:val="false"/>
          <w:smallCaps w:val="false"/>
          <w:sz w:val="20"/>
        </w:rPr>
        <w:t>15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Recently Adopted Accounting Standards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2023, </w:t>
      </w:r>
      <w:r>
        <w:rPr>
          <w:rFonts w:ascii="Times New Roman" w:hAnsi="Times New Roman"/>
          <w:caps w:val="false"/>
          <w:smallCaps w:val="false"/>
          <w:sz w:val="20"/>
        </w:rPr>
        <w:t>the Financial Accounting Standards Board (“FASB”) issued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“Improvements to Income Tax Disclosures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which requires entities to disclose in their rate reconciliation table additional categories of information about federal, state and foreign income taxes as well as additional information about reconciling items if certain quantitative thresholds are met. This ASU will require all entities to disclose income taxes paid, net of refunds, disaggregated by federal (national), state and foreign taxes for annual periods and to disaggregate the information by jurisdiction based on a quantitative threshold. All entities are required to apply the guidance prospectively, with the option to apply it retrospectively. The Company adopted this ASU prospectively during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7</w:t>
      </w:r>
      <w:r>
        <w:rPr>
          <w:rFonts w:ascii="Times New Roman" w:hAnsi="Times New Roman"/>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Recently Issued Accounting Standards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“Income Statement — Reporting Comprehensive Income — 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Disaggregation of Income Statement Expenses”, which requires disaggregated disclosures in the notes of the financial statements of certain categories of expenses that are included in expense line items on the face of the income statement. This ASU is effective for annual reporting periods beginning after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and interim periods within annual reporting periods beginning after </w:t>
      </w:r>
      <w:r>
        <w:rPr>
          <w:rStyle w:val="Emphasis"/>
          <w:rFonts w:ascii="Times New Roman" w:hAnsi="Times New Roman"/>
          <w:caps w:val="false"/>
          <w:smallCaps w:val="false"/>
          <w:sz w:val="20"/>
        </w:rPr>
        <w:t xml:space="preserve"> December 15, 2027. </w:t>
      </w:r>
      <w:r>
        <w:rPr>
          <w:rFonts w:ascii="Times New Roman" w:hAnsi="Times New Roman"/>
          <w:caps w:val="false"/>
          <w:smallCaps w:val="false"/>
          <w:sz w:val="20"/>
        </w:rPr>
        <w:t>Early adoption is permitted. The Company is currently evaluating the potential impact adopting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will have on the Company's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800" w:type="dxa"/>
        <w:jc w:val="left"/>
        <w:tblInd w:w="0" w:type="dxa"/>
        <w:tblLayout w:type="fixed"/>
        <w:tblCellMar>
          <w:top w:w="0" w:type="dxa"/>
          <w:left w:w="0" w:type="dxa"/>
          <w:bottom w:w="0" w:type="dxa"/>
          <w:right w:w="0" w:type="dxa"/>
        </w:tblCellMar>
      </w:tblPr>
      <w:tblGrid>
        <w:gridCol w:w="170"/>
        <w:gridCol w:w="263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3.</w:t>
            </w:r>
          </w:p>
        </w:tc>
        <w:tc>
          <w:tcPr>
            <w:tcW w:w="26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Acquisition of Hotel 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30, 2024, </w:t>
      </w:r>
      <w:r>
        <w:rPr>
          <w:rFonts w:ascii="Times New Roman" w:hAnsi="Times New Roman"/>
          <w:caps w:val="false"/>
          <w:smallCaps w:val="false"/>
          <w:sz w:val="20"/>
        </w:rPr>
        <w:t xml:space="preserve">the Company acquired the </w:t>
      </w:r>
      <w:r>
        <w:rPr>
          <w:rStyle w:val="Emphasis"/>
          <w:rFonts w:ascii="Times New Roman" w:hAnsi="Times New Roman"/>
          <w:caps w:val="false"/>
          <w:smallCaps w:val="false"/>
          <w:sz w:val="20"/>
        </w:rPr>
        <w:t>Home2</w:t>
      </w:r>
      <w:r>
        <w:rPr>
          <w:rFonts w:ascii="Times New Roman" w:hAnsi="Times New Roman"/>
          <w:caps w:val="false"/>
          <w:smallCaps w:val="false"/>
          <w:sz w:val="20"/>
        </w:rPr>
        <w:t xml:space="preserve"> Suites Phoenix Downtown (</w:t>
      </w:r>
      <w:r>
        <w:rPr>
          <w:rStyle w:val="Emphasis"/>
          <w:rFonts w:ascii="Times New Roman" w:hAnsi="Times New Roman"/>
          <w:caps w:val="false"/>
          <w:smallCaps w:val="false"/>
          <w:sz w:val="20"/>
        </w:rPr>
        <w:t>"Home2</w:t>
      </w:r>
      <w:r>
        <w:rPr>
          <w:rFonts w:ascii="Times New Roman" w:hAnsi="Times New Roman"/>
          <w:caps w:val="false"/>
          <w:smallCaps w:val="false"/>
          <w:sz w:val="20"/>
        </w:rPr>
        <w:t xml:space="preserve"> Phoenix") hotel property in Phoenix, AZ for $43.3 million. Based on the terms of the acquisition and corresponding lease, the transaction qualifies as a finance lease for which the Company has recorded right-of-use ("ROU") assets and a lease liability (see Note </w:t>
      </w:r>
      <w:r>
        <w:rPr>
          <w:rStyle w:val="Emphasis"/>
          <w:rFonts w:ascii="Times New Roman" w:hAnsi="Times New Roman"/>
          <w:caps w:val="false"/>
          <w:smallCaps w:val="false"/>
          <w:sz w:val="20"/>
        </w:rPr>
        <w:t>12</w:t>
      </w:r>
      <w:r>
        <w:rPr>
          <w:rFonts w:ascii="Times New Roman" w:hAnsi="Times New Roman"/>
          <w:caps w:val="false"/>
          <w:smallCaps w:val="false"/>
          <w:sz w:val="20"/>
        </w:rPr>
        <w:t>). The Company's ROU asset balance includes $0.3 million related to its lease liability and property acquisition costs of $0.1 million, which are all recorded within Investment in hotel properties,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allocated the purchase price of each hotel property acquired based on the estimated fair values of the assets on the date of acquisition. The value of the assets acquired was primarily based on a sales comparison approach (for land) and a depreciated replacement cost approach (for building and improvements and furniture, fixtures and equipment). The sales comparison approach uses inputs of recent land sales in the respective hotel markets. The depreciated replacement cost approach uses inputs of both direct and indirect replacement costs using a nationally recognized authority on replacement cost information as well as the age, square footage and number of rooms of the respective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785" w:type="dxa"/>
        <w:jc w:val="left"/>
        <w:tblInd w:w="0" w:type="dxa"/>
        <w:tblLayout w:type="fixed"/>
        <w:tblCellMar>
          <w:top w:w="0" w:type="dxa"/>
          <w:left w:w="0" w:type="dxa"/>
          <w:bottom w:w="0" w:type="dxa"/>
          <w:right w:w="0" w:type="dxa"/>
        </w:tblCellMar>
      </w:tblPr>
      <w:tblGrid>
        <w:gridCol w:w="170"/>
        <w:gridCol w:w="261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4.</w:t>
            </w:r>
          </w:p>
        </w:tc>
        <w:tc>
          <w:tcPr>
            <w:tcW w:w="26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Disposition of Hotel 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December 23,</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sold the Homewood Suites by Hilton Boston-Billerica ("HWS Billerica") hotel property in Billerica, MA for $17.4 million and recognized a gain on sale of the hotel property of $6.5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April 22,</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sold the Courtyard Houston-Medical Center ("CY Houston") hotel property in Houston, TX for $23.5 million and recognized a gain on sale of the hotel property of $0.1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17, 2025, </w:t>
      </w:r>
      <w:r>
        <w:rPr>
          <w:rFonts w:ascii="Times New Roman" w:hAnsi="Times New Roman"/>
          <w:caps w:val="false"/>
          <w:smallCaps w:val="false"/>
          <w:sz w:val="20"/>
        </w:rPr>
        <w:t>the Company sold the Hampton Inn &amp; Suites Houston-Medical Center ("HI Houston") hotel property in Houston, TX for $15.5 million and recognized a gain on sale of the hotel property of $1.8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30,</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sold the Homewood Suites by Hilton Nashville-Brentwood ("HWS Brentwood") hotel property in Brentwood, TN for $15.0 million and recognized a gain on sale of the hotel property of $5.6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16, 2024, </w:t>
      </w:r>
      <w:r>
        <w:rPr>
          <w:rFonts w:ascii="Times New Roman" w:hAnsi="Times New Roman"/>
          <w:caps w:val="false"/>
          <w:smallCaps w:val="false"/>
          <w:sz w:val="20"/>
        </w:rPr>
        <w:t>the Company sold the Homewood Suites by Hilton Minneapolis-Mall of America ("HWS Bloomington") hotel property in Bloomington, MN for $13.8 million and recognized a loss on sale of the hotel property of $0.8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6, 2024, </w:t>
      </w:r>
      <w:r>
        <w:rPr>
          <w:rFonts w:ascii="Times New Roman" w:hAnsi="Times New Roman"/>
          <w:caps w:val="false"/>
          <w:smallCaps w:val="false"/>
          <w:sz w:val="20"/>
        </w:rPr>
        <w:t>the Company sold the Homewood Suites by Hilton Orlando-Maitland ("HWS Maitland") hotel property in Maitland, FL for $15.5 million and recognized a gain on sale of the hotel property of $6.7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9, 2024, </w:t>
      </w:r>
      <w:r>
        <w:rPr>
          <w:rFonts w:ascii="Times New Roman" w:hAnsi="Times New Roman"/>
          <w:caps w:val="false"/>
          <w:smallCaps w:val="false"/>
          <w:sz w:val="20"/>
        </w:rPr>
        <w:t>the Company sold the Hilton Garden Inn Denver Tech Center ("HGI Denver Tech") hotel property in Denver, CO for $18.0 million and recognized a loss on sale of the hotel property of $0.2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sales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represent a strategic shift that had or will have a major effect on the Company's operations and financial results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to be reported as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770" w:type="dxa"/>
        <w:jc w:val="left"/>
        <w:tblInd w:w="0" w:type="dxa"/>
        <w:tblLayout w:type="fixed"/>
        <w:tblCellMar>
          <w:top w:w="0" w:type="dxa"/>
          <w:left w:w="0" w:type="dxa"/>
          <w:bottom w:w="0" w:type="dxa"/>
          <w:right w:w="0" w:type="dxa"/>
        </w:tblCellMar>
      </w:tblPr>
      <w:tblGrid>
        <w:gridCol w:w="170"/>
        <w:gridCol w:w="260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5.</w:t>
            </w:r>
          </w:p>
        </w:tc>
        <w:tc>
          <w:tcPr>
            <w:tcW w:w="26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 Hotel 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Investment in hotel properties,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Investment in hotel properties, net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448" w:type="dxa"/>
        <w:jc w:val="left"/>
        <w:tblInd w:w="0" w:type="dxa"/>
        <w:tblLayout w:type="fixed"/>
        <w:tblCellMar>
          <w:top w:w="0" w:type="dxa"/>
          <w:left w:w="0" w:type="dxa"/>
          <w:bottom w:w="0" w:type="dxa"/>
          <w:right w:w="0" w:type="dxa"/>
        </w:tblCellMar>
      </w:tblPr>
      <w:tblGrid>
        <w:gridCol w:w="3950"/>
        <w:gridCol w:w="60"/>
        <w:gridCol w:w="207"/>
        <w:gridCol w:w="1402"/>
        <w:gridCol w:w="80"/>
        <w:gridCol w:w="60"/>
        <w:gridCol w:w="207"/>
        <w:gridCol w:w="1402"/>
        <w:gridCol w:w="80"/>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280,415</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 and improvements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1,232,438</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fixtures and equipment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107,947</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43,760</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Renovations in progress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1,681,792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(478,874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hotel properties, net</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1,106,890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1,197,518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There were no impairments recorded during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During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Company recorded an impairment loss of $4.3 million on the CY Houston hotel property to write down the value of the hotel property to its estimated fair value which approximated its estimated selling price. The CY Houston hotel property was sold on </w:t>
      </w:r>
      <w:r>
        <w:rPr>
          <w:rStyle w:val="Emphasis"/>
          <w:rFonts w:ascii="Times New Roman" w:hAnsi="Times New Roman"/>
          <w:caps w:val="false"/>
          <w:smallCaps w:val="false"/>
          <w:sz w:val="20"/>
        </w:rPr>
        <w:t xml:space="preserve">April 22, 2025. </w:t>
      </w: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recorded an impairment loss of $4.3 million on the HGI Denver Tech hotel property to write down the hotel property to estimated fair value which approximated its estimated selling price. The HGI Denver Tech hotel property was sold on </w:t>
      </w:r>
      <w:r>
        <w:rPr>
          <w:rStyle w:val="Emphasis"/>
          <w:rFonts w:ascii="Times New Roman" w:hAnsi="Times New Roman"/>
          <w:caps w:val="false"/>
          <w:smallCaps w:val="false"/>
          <w:sz w:val="20"/>
        </w:rPr>
        <w:t>January 9,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26, 2025, </w:t>
      </w:r>
      <w:r>
        <w:rPr>
          <w:rFonts w:ascii="Times New Roman" w:hAnsi="Times New Roman"/>
          <w:caps w:val="false"/>
          <w:smallCaps w:val="false"/>
          <w:sz w:val="20"/>
        </w:rPr>
        <w:t xml:space="preserve">the Company entered into an agreement to purchase a portfolio of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hotels for $92.0 million.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this transaction will ultimately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Investment in hotel properties under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Company wrote-off $2.2 million of previous expenditures related to the development of a hotel in California that the Company decided to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pursue. The write-off expense is included in other charges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80" w:type="dxa"/>
        <w:jc w:val="left"/>
        <w:tblInd w:w="0" w:type="dxa"/>
        <w:tblLayout w:type="fixed"/>
        <w:tblCellMar>
          <w:top w:w="0" w:type="dxa"/>
          <w:left w:w="0" w:type="dxa"/>
          <w:bottom w:w="0" w:type="dxa"/>
          <w:right w:w="0" w:type="dxa"/>
        </w:tblCellMar>
      </w:tblPr>
      <w:tblGrid>
        <w:gridCol w:w="170"/>
        <w:gridCol w:w="41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6.</w:t>
            </w:r>
          </w:p>
        </w:tc>
        <w:tc>
          <w:tcPr>
            <w:tcW w:w="4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mortgage loans are collateralized by </w:t>
      </w:r>
      <w:r>
        <w:rPr>
          <w:rStyle w:val="Emphasis"/>
          <w:rFonts w:ascii="Times New Roman" w:hAnsi="Times New Roman"/>
          <w:caps w:val="false"/>
          <w:smallCaps w:val="false"/>
          <w:sz w:val="20"/>
        </w:rPr>
        <w:t>first</w:t>
      </w:r>
      <w:r>
        <w:rPr>
          <w:rFonts w:ascii="Times New Roman" w:hAnsi="Times New Roman"/>
          <w:caps w:val="false"/>
          <w:smallCaps w:val="false"/>
          <w:sz w:val="20"/>
        </w:rPr>
        <w:t>-mortgage liens on certain of the Company's properties. The mortgages are non-recourse except for instances of fraud or misapplication of funds. Debt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2"/>
        <w:gridCol w:w="60"/>
        <w:gridCol w:w="88"/>
        <w:gridCol w:w="562"/>
        <w:gridCol w:w="185"/>
        <w:gridCol w:w="60"/>
        <w:gridCol w:w="1479"/>
        <w:gridCol w:w="60"/>
        <w:gridCol w:w="218"/>
        <w:gridCol w:w="1229"/>
        <w:gridCol w:w="60"/>
        <w:gridCol w:w="60"/>
        <w:gridCol w:w="168"/>
        <w:gridCol w:w="912"/>
        <w:gridCol w:w="95"/>
        <w:gridCol w:w="71"/>
        <w:gridCol w:w="168"/>
        <w:gridCol w:w="912"/>
        <w:gridCol w:w="86"/>
      </w:tblGrid>
      <w:tr>
        <w:trPr/>
        <w:tc>
          <w:tcPr>
            <w:tcW w:w="3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pPr>
            <w:r>
              <w:rPr>
                <w:rStyle w:val="Emphasis"/>
              </w:rPr>
              <w:t> </w:t>
            </w:r>
          </w:p>
        </w:tc>
        <w:tc>
          <w:tcPr>
            <w:tcW w:w="86" w:type="dxa"/>
            <w:tcBorders/>
            <w:shd w:fill="FFFFFF" w:val="clear"/>
            <w:vAlign w:val="center"/>
          </w:tcPr>
          <w:p>
            <w:pPr>
              <w:pStyle w:val="TableContents"/>
              <w:bidi w:val="0"/>
              <w:spacing w:before="0" w:after="283"/>
              <w:jc w:val="left"/>
              <w:rPr/>
            </w:pPr>
            <w:r>
              <w:rPr/>
              <w:t> </w:t>
            </w:r>
          </w:p>
        </w:tc>
      </w:tr>
      <w:tr>
        <w:trPr/>
        <w:tc>
          <w:tcPr>
            <w:tcW w:w="3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Property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Outstanding as of</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Interest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0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6" w:type="dxa"/>
            <w:tcBorders/>
            <w:shd w:fill="FFFFFF" w:val="clear"/>
            <w:vAlign w:val="center"/>
          </w:tcPr>
          <w:p>
            <w:pPr>
              <w:pStyle w:val="TableContents"/>
              <w:bidi w:val="0"/>
              <w:spacing w:before="0" w:after="283"/>
              <w:jc w:val="left"/>
              <w:rPr/>
            </w:pPr>
            <w:r>
              <w:rPr/>
              <w:t> </w:t>
            </w:r>
          </w:p>
        </w:tc>
      </w:tr>
      <w:tr>
        <w:trPr/>
        <w:tc>
          <w:tcPr>
            <w:tcW w:w="37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Loan/Collateral</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Maturity Date</w:t>
            </w:r>
          </w:p>
        </w:tc>
        <w:tc>
          <w:tcPr>
            <w:tcW w:w="60" w:type="dxa"/>
            <w:tcBorders/>
            <w:shd w:fill="FFFFFF" w:val="clear"/>
            <w:vAlign w:val="center"/>
          </w:tcPr>
          <w:p>
            <w:pPr>
              <w:pStyle w:val="TableContents"/>
              <w:bidi w:val="0"/>
              <w:spacing w:before="0" w:after="283"/>
              <w:ind w:left="0" w:right="0" w:hanging="0"/>
              <w:jc w:val="left"/>
              <w:rPr/>
            </w:pPr>
            <w:r>
              <w:rPr/>
              <w:t> </w:t>
            </w:r>
          </w:p>
        </w:tc>
        <w:tc>
          <w:tcPr>
            <w:tcW w:w="14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0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 (1)</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25, 2029</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110,000</w:t>
            </w:r>
          </w:p>
        </w:tc>
        <w:tc>
          <w:tcPr>
            <w:tcW w:w="86" w:type="dxa"/>
            <w:tcBorders/>
            <w:shd w:fill="CCEEFF" w:val="clear"/>
            <w:vAlign w:val="center"/>
          </w:tcPr>
          <w:p>
            <w:pPr>
              <w:pStyle w:val="TableContents"/>
              <w:bidi w:val="0"/>
              <w:spacing w:before="0" w:after="283"/>
              <w:jc w:val="left"/>
              <w:rPr/>
            </w:pPr>
            <w:r>
              <w:rPr/>
              <w:t> </w:t>
            </w:r>
          </w:p>
        </w:tc>
      </w:tr>
      <w:tr>
        <w:trPr/>
        <w:tc>
          <w:tcPr>
            <w:tcW w:w="3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Unsecured Term Loan (2)</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25, 2029</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2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140,000</w:t>
            </w:r>
          </w:p>
        </w:tc>
        <w:tc>
          <w:tcPr>
            <w:tcW w:w="86" w:type="dxa"/>
            <w:tcBorders/>
            <w:shd w:fill="FFFFFF" w:val="clear"/>
            <w:vAlign w:val="center"/>
          </w:tcPr>
          <w:p>
            <w:pPr>
              <w:pStyle w:val="TableContents"/>
              <w:bidi w:val="0"/>
              <w:spacing w:before="0" w:after="283"/>
              <w:jc w:val="left"/>
              <w:rPr/>
            </w:pPr>
            <w:r>
              <w:rPr/>
              <w:t> </w:t>
            </w:r>
          </w:p>
        </w:tc>
      </w:tr>
      <w:tr>
        <w:trPr/>
        <w:tc>
          <w:tcPr>
            <w:tcW w:w="3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 &amp; Suites Houston-Medical Center, TX</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January 6, 2025</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2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15,957</w:t>
            </w:r>
          </w:p>
        </w:tc>
        <w:tc>
          <w:tcPr>
            <w:tcW w:w="86" w:type="dxa"/>
            <w:tcBorders/>
            <w:shd w:fill="CCEEFF" w:val="clear"/>
            <w:vAlign w:val="center"/>
          </w:tcPr>
          <w:p>
            <w:pPr>
              <w:pStyle w:val="TableContents"/>
              <w:bidi w:val="0"/>
              <w:spacing w:before="0" w:after="283"/>
              <w:jc w:val="left"/>
              <w:rPr/>
            </w:pPr>
            <w:r>
              <w:rPr/>
              <w:t> </w:t>
            </w:r>
          </w:p>
        </w:tc>
      </w:tr>
      <w:tr>
        <w:trPr/>
        <w:tc>
          <w:tcPr>
            <w:tcW w:w="3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by Marriott Dallas, TX</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11, 2028</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2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24,500</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24,500</w:t>
            </w:r>
          </w:p>
        </w:tc>
        <w:tc>
          <w:tcPr>
            <w:tcW w:w="86" w:type="dxa"/>
            <w:tcBorders/>
            <w:shd w:fill="FFFFFF" w:val="clear"/>
            <w:vAlign w:val="center"/>
          </w:tcPr>
          <w:p>
            <w:pPr>
              <w:pStyle w:val="TableContents"/>
              <w:bidi w:val="0"/>
              <w:spacing w:before="0" w:after="283"/>
              <w:jc w:val="left"/>
              <w:rPr/>
            </w:pPr>
            <w:r>
              <w:rPr/>
              <w:t> </w:t>
            </w:r>
          </w:p>
        </w:tc>
      </w:tr>
      <w:tr>
        <w:trPr/>
        <w:tc>
          <w:tcPr>
            <w:tcW w:w="3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Place Pittsburgh, PA (3)</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11, 2029</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23,300</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23,300</w:t>
            </w:r>
          </w:p>
        </w:tc>
        <w:tc>
          <w:tcPr>
            <w:tcW w:w="86" w:type="dxa"/>
            <w:tcBorders/>
            <w:shd w:fill="CCEEFF" w:val="clear"/>
            <w:vAlign w:val="center"/>
          </w:tcPr>
          <w:p>
            <w:pPr>
              <w:pStyle w:val="TableContents"/>
              <w:bidi w:val="0"/>
              <w:spacing w:before="0" w:after="283"/>
              <w:jc w:val="left"/>
              <w:rPr/>
            </w:pPr>
            <w:r>
              <w:rPr/>
              <w:t> </w:t>
            </w:r>
          </w:p>
        </w:tc>
      </w:tr>
      <w:tr>
        <w:trPr/>
        <w:tc>
          <w:tcPr>
            <w:tcW w:w="3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by Marriott Austin, TX</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6, 2033</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2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20,850</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20,850</w:t>
            </w:r>
          </w:p>
        </w:tc>
        <w:tc>
          <w:tcPr>
            <w:tcW w:w="86" w:type="dxa"/>
            <w:tcBorders/>
            <w:shd w:fill="FFFFFF" w:val="clear"/>
            <w:vAlign w:val="center"/>
          </w:tcPr>
          <w:p>
            <w:pPr>
              <w:pStyle w:val="TableContents"/>
              <w:bidi w:val="0"/>
              <w:spacing w:before="0" w:after="283"/>
              <w:jc w:val="left"/>
              <w:rPr/>
            </w:pPr>
            <w:r>
              <w:rPr/>
              <w:t> </w:t>
            </w:r>
          </w:p>
        </w:tc>
      </w:tr>
      <w:tr>
        <w:trPr/>
        <w:tc>
          <w:tcPr>
            <w:tcW w:w="3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TownePlace Suites by Marriott Austin, TX</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6, 2033</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19,075</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19,075</w:t>
            </w:r>
          </w:p>
        </w:tc>
        <w:tc>
          <w:tcPr>
            <w:tcW w:w="86" w:type="dxa"/>
            <w:tcBorders/>
            <w:shd w:fill="CCEEFF" w:val="clear"/>
            <w:vAlign w:val="center"/>
          </w:tcPr>
          <w:p>
            <w:pPr>
              <w:pStyle w:val="TableContents"/>
              <w:bidi w:val="0"/>
              <w:spacing w:before="0" w:after="283"/>
              <w:jc w:val="left"/>
              <w:rPr/>
            </w:pPr>
            <w:r>
              <w:rPr/>
              <w:t> </w:t>
            </w:r>
          </w:p>
        </w:tc>
      </w:tr>
      <w:tr>
        <w:trPr/>
        <w:tc>
          <w:tcPr>
            <w:tcW w:w="3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by Marriott Summerville, SC</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11, 2033</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2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86" w:type="dxa"/>
            <w:tcBorders/>
            <w:shd w:fill="FFFFFF" w:val="clear"/>
            <w:vAlign w:val="center"/>
          </w:tcPr>
          <w:p>
            <w:pPr>
              <w:pStyle w:val="TableContents"/>
              <w:bidi w:val="0"/>
              <w:spacing w:before="0" w:after="283"/>
              <w:jc w:val="left"/>
              <w:rPr/>
            </w:pPr>
            <w:r>
              <w:rPr/>
              <w:t> </w:t>
            </w:r>
          </w:p>
        </w:tc>
      </w:tr>
      <w:tr>
        <w:trPr/>
        <w:tc>
          <w:tcPr>
            <w:tcW w:w="3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by Marriott Summerville, SC</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11, 2033</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w:t>
            </w:r>
          </w:p>
        </w:tc>
        <w:tc>
          <w:tcPr>
            <w:tcW w:w="86" w:type="dxa"/>
            <w:tcBorders/>
            <w:shd w:fill="CCEEFF" w:val="clear"/>
            <w:vAlign w:val="center"/>
          </w:tcPr>
          <w:p>
            <w:pPr>
              <w:pStyle w:val="TableContents"/>
              <w:bidi w:val="0"/>
              <w:spacing w:before="0" w:after="283"/>
              <w:jc w:val="left"/>
              <w:rPr/>
            </w:pPr>
            <w:r>
              <w:rPr/>
              <w:t> </w:t>
            </w:r>
          </w:p>
        </w:tc>
      </w:tr>
      <w:tr>
        <w:trPr/>
        <w:tc>
          <w:tcPr>
            <w:tcW w:w="3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SpringHill Suites by Marriott Savannah, GA (4)</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6, 2034</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2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22,000</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22,000</w:t>
            </w:r>
          </w:p>
        </w:tc>
        <w:tc>
          <w:tcPr>
            <w:tcW w:w="86" w:type="dxa"/>
            <w:tcBorders/>
            <w:shd w:fill="FFFFFF" w:val="clear"/>
            <w:vAlign w:val="center"/>
          </w:tcPr>
          <w:p>
            <w:pPr>
              <w:pStyle w:val="TableContents"/>
              <w:bidi w:val="0"/>
              <w:spacing w:before="0" w:after="283"/>
              <w:jc w:val="left"/>
              <w:rPr/>
            </w:pPr>
            <w:r>
              <w:rPr/>
              <w:t> </w:t>
            </w:r>
          </w:p>
        </w:tc>
      </w:tr>
      <w:tr>
        <w:trPr/>
        <w:tc>
          <w:tcPr>
            <w:tcW w:w="3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 &amp; Suites Exeter, NH (4)</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11, 2034</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before unamortized debt issue costs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208,826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343,225</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409,182</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7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term loan and mortgage debt issue costs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outstanding</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338,913</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406,850</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1.</w:t>
            </w:r>
          </w:p>
        </w:tc>
        <w:tc>
          <w:tcPr>
            <w:tcW w:w="999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interest rate for the revolving credit facility is variable and based on </w:t>
            </w:r>
            <w:r>
              <w:rPr>
                <w:rStyle w:val="Emphasis"/>
                <w:rFonts w:ascii="Times New Roman" w:hAnsi="Times New Roman"/>
                <w:caps w:val="false"/>
                <w:smallCaps w:val="false"/>
                <w:sz w:val="20"/>
              </w:rPr>
              <w:t>one</w:t>
            </w:r>
            <w:r>
              <w:rPr>
                <w:rFonts w:ascii="Times New Roman" w:hAnsi="Times New Roman"/>
                <w:caps w:val="false"/>
                <w:smallCaps w:val="false"/>
                <w:sz w:val="20"/>
              </w:rPr>
              <w:t>-month term secured overnight financing rate ("SOFR") plus a spread of 1.50% to 2.25% based on the Company's leverage.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2.</w:t>
            </w:r>
          </w:p>
        </w:tc>
        <w:tc>
          <w:tcPr>
            <w:tcW w:w="9986"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interest rate for the unsecured term loan is variable and based on </w:t>
            </w:r>
            <w:r>
              <w:rPr>
                <w:rStyle w:val="Emphasis"/>
                <w:rFonts w:ascii="Times New Roman" w:hAnsi="Times New Roman"/>
                <w:caps w:val="false"/>
                <w:smallCaps w:val="false"/>
                <w:sz w:val="20"/>
              </w:rPr>
              <w:t>one</w:t>
            </w:r>
            <w:r>
              <w:rPr>
                <w:rFonts w:ascii="Times New Roman" w:hAnsi="Times New Roman"/>
                <w:caps w:val="false"/>
                <w:smallCaps w:val="false"/>
                <w:sz w:val="20"/>
              </w:rPr>
              <w:t>-month term SOFR plus a spread of 1.45% to 2.20% based on the Company's leverage.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a subsidiary of Chatham entered into an agreement with Wells Fargo Bank to obtain a $23.3 million loan secured by the Hyatt Place Pittsburgh. The loan has a term of five years, carries a fixed interest rate of 7.29%, and is interest-only for its duration.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4.</w:t>
            </w:r>
          </w:p>
        </w:tc>
        <w:tc>
          <w:tcPr>
            <w:tcW w:w="10007"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June 6, 2024, two</w:t>
            </w:r>
            <w:r>
              <w:rPr>
                <w:rFonts w:ascii="Times New Roman" w:hAnsi="Times New Roman"/>
                <w:caps w:val="false"/>
                <w:smallCaps w:val="false"/>
                <w:sz w:val="20"/>
              </w:rPr>
              <w:t xml:space="preserve"> subsidiaries of Chatham entered into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agreements with Barclays Capital Real Estate and Wells Fargo Bank to obtain a $22.0 million loan secured by the SpringHill Suites Savannah and a $15.0 million loan secured by the Hampton Inn &amp; Suites Exeter. Each loan has a term of ten years, carries a fixed interest rate of 6.70%, and is interest-only for its duration.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September 25,</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entered into a new credit agreement for a credit facility (the "Credit Facility") consisting of a $300.0 million unsecured revolving credit facility and a $200.0 million unsecured term loan facility which replaced the existing $260.0 million revolving credit facility and the existing $140.0 million unsecured term loan facility. Proceeds from the new $200.0 million funded term loan were used to repay the $60.0 million of outstanding borrowings under the prior $260.0 million revolving credit facility and the $140.0 million of outstanding borrowings under the prior term loan. The new Credit Facility has an initial maturity date of </w:t>
      </w:r>
      <w:r>
        <w:rPr>
          <w:rStyle w:val="Emphasis"/>
          <w:rFonts w:ascii="Times New Roman" w:hAnsi="Times New Roman"/>
          <w:caps w:val="false"/>
          <w:smallCaps w:val="false"/>
          <w:sz w:val="20"/>
        </w:rPr>
        <w:t xml:space="preserve"> September 25,</w:t>
      </w:r>
      <w:r>
        <w:rPr>
          <w:rFonts w:ascii="Times New Roman" w:hAnsi="Times New Roman"/>
          <w:caps w:val="false"/>
          <w:smallCaps w:val="false"/>
          <w:sz w:val="20"/>
        </w:rPr>
        <w:t> </w:t>
      </w:r>
      <w:r>
        <w:rPr>
          <w:rStyle w:val="Emphasis"/>
          <w:rFonts w:ascii="Times New Roman" w:hAnsi="Times New Roman"/>
          <w:caps w:val="false"/>
          <w:smallCaps w:val="false"/>
          <w:sz w:val="20"/>
        </w:rPr>
        <w:t>2029</w:t>
      </w:r>
      <w:r>
        <w:rPr>
          <w:rFonts w:ascii="Times New Roman" w:hAnsi="Times New Roman"/>
          <w:caps w:val="false"/>
          <w:smallCaps w:val="false"/>
          <w:sz w:val="20"/>
        </w:rPr>
        <w:t> and provides options to extend for one year. Total commitments of $500.0 million under the new Credit Facility can be increased up to $650.0 million through an accordion feature.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had $200.0 million and $250.0 million, respectively, of outstanding borrowings under its revolving credit facility and unsecured term loan.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maximum remaining borrowing availability under the combined facilities was $300.0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repaid the maturing mortgage loan of $16.0 million on the Hampton Inn Houston hotel property. During the year ended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 xml:space="preserve">the Company repaid the maturing mortgage loans of $29.3 million on the Residence Inn Garden Grove hotel property, $34.9 million on the Residence Inn Mountain View hotel property, $27.6 million on the SpringHill Suites Savannah hotel property, $59.5 million on the Residence Inn Silicon Valley I hotel property, $65.0 million on the Residence Inn Silicon Valley II hotel property, $44.7 million on the Residence Inn San Mateo hotel property, $18.8 million on the Hilton Garden Inn Marina del Rey hotel property, and $14.2 million on the Homewood Suites Billerica hotel property. The Company utilized cash, borrowings under its unsecured credit facility and unsecured term loan, and proceeds from its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new mortgage loans to repay these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estimates the fair value of its fixed rate debt by discounting the future cash flows of each instrument at estimated market rates. All of the Company's mortgage loans are fixed-rate. Rates take into consideration general market conditions, quality and estimated value of collateral and maturity of debt with similar credit terms and are classified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The estimated fair value of the Company’s fixed rate debt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was $154.0 million and $164.8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estimates the fair value of its variable rate debt by taking into account general market conditions and the estimated credit terms it could obtain for debt with a similar maturity and that is classified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Company’s variable rate debt consisted of borrowings under its revolving credit facility and its unsecured term loan. The estimated fair value of the Company’s variable rate debt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was $200.0 million and $250.0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Future scheduled principal payments of debt obligations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for each of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calendar years and thereafter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3905"/>
        <w:gridCol w:w="60"/>
        <w:gridCol w:w="125"/>
        <w:gridCol w:w="695"/>
        <w:gridCol w:w="80"/>
      </w:tblGrid>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24,590</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223,681</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debt before unamortized debt issue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343,225</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mortgage debt issue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debt outstanding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338,913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pPr>
      <w:r>
        <w:rPr/>
        <w:t xml:space="preserve">  </w:t>
      </w:r>
    </w:p>
    <w:tbl>
      <w:tblPr>
        <w:tblW w:w="1375" w:type="dxa"/>
        <w:jc w:val="left"/>
        <w:tblInd w:w="0" w:type="dxa"/>
        <w:tblLayout w:type="fixed"/>
        <w:tblCellMar>
          <w:top w:w="0" w:type="dxa"/>
          <w:left w:w="0" w:type="dxa"/>
          <w:bottom w:w="0" w:type="dxa"/>
          <w:right w:w="0" w:type="dxa"/>
        </w:tblCellMar>
      </w:tblPr>
      <w:tblGrid>
        <w:gridCol w:w="170"/>
        <w:gridCol w:w="120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7.</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recorded no income tax expense during the years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difference between income tax expense and the amount computed by applying the statutory federal income tax rate to the combined income of the Company before taxes were as follows (dollars in thousands):</w:t>
      </w:r>
    </w:p>
    <w:p>
      <w:pPr>
        <w:pStyle w:val="TextBody"/>
        <w:bidi w:val="0"/>
        <w:spacing w:before="0" w:after="0"/>
        <w:ind w:left="0" w:right="0" w:firstLine="720"/>
        <w:jc w:val="left"/>
        <w:rPr>
          <w:caps w:val="false"/>
          <w:smallCaps w:val="false"/>
        </w:rPr>
      </w:pPr>
      <w:r>
        <w:rPr>
          <w:caps w:val="false"/>
          <w:smallCaps w:val="false"/>
        </w:rPr>
        <w:t> </w:t>
      </w:r>
    </w:p>
    <w:tbl>
      <w:tblPr>
        <w:tblW w:w="7154" w:type="dxa"/>
        <w:jc w:val="left"/>
        <w:tblInd w:w="0" w:type="dxa"/>
        <w:tblLayout w:type="fixed"/>
        <w:tblCellMar>
          <w:top w:w="0" w:type="dxa"/>
          <w:left w:w="0" w:type="dxa"/>
          <w:bottom w:w="0" w:type="dxa"/>
          <w:right w:w="0" w:type="dxa"/>
        </w:tblCellMar>
      </w:tblPr>
      <w:tblGrid>
        <w:gridCol w:w="5360"/>
        <w:gridCol w:w="175"/>
        <w:gridCol w:w="914"/>
        <w:gridCol w:w="112"/>
        <w:gridCol w:w="408"/>
        <w:gridCol w:w="185"/>
      </w:tblGrid>
      <w:tr>
        <w:trPr/>
        <w:tc>
          <w:tcPr>
            <w:tcW w:w="5360" w:type="dxa"/>
            <w:tcBorders/>
            <w:shd w:fill="FFFFFF" w:val="clear"/>
            <w:vAlign w:val="center"/>
          </w:tcPr>
          <w:p>
            <w:pPr>
              <w:pStyle w:val="TableContents"/>
              <w:bidi w:val="0"/>
              <w:spacing w:before="0" w:after="283"/>
              <w:ind w:left="0" w:right="0" w:hanging="0"/>
              <w:jc w:val="left"/>
              <w:rPr/>
            </w:pPr>
            <w:r>
              <w:rPr/>
              <w:t> </w:t>
            </w:r>
          </w:p>
        </w:tc>
        <w:tc>
          <w:tcPr>
            <w:tcW w:w="1609" w:type="dxa"/>
            <w:gridSpan w:val="4"/>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For the year ended</w:t>
            </w:r>
          </w:p>
        </w:tc>
        <w:tc>
          <w:tcPr>
            <w:tcW w:w="185" w:type="dxa"/>
            <w:tcBorders/>
            <w:shd w:fill="FFFF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ind w:left="0" w:right="0" w:hanging="0"/>
              <w:jc w:val="left"/>
              <w:rPr/>
            </w:pPr>
            <w:r>
              <w:rPr/>
              <w:t> </w:t>
            </w:r>
          </w:p>
        </w:tc>
        <w:tc>
          <w:tcPr>
            <w:tcW w:w="1609"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2025</w:t>
            </w:r>
          </w:p>
        </w:tc>
        <w:tc>
          <w:tcPr>
            <w:tcW w:w="185"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Book income before income taxes</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15,313</w:t>
            </w:r>
          </w:p>
        </w:tc>
        <w:tc>
          <w:tcPr>
            <w:tcW w:w="112"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REIT income not subject to income taxes</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(15,152</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08"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 income before income taxes of the TRS</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112"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Statutory rate of 21%</w:t>
            </w:r>
          </w:p>
        </w:tc>
        <w:tc>
          <w:tcPr>
            <w:tcW w:w="17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12"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Effect of state and local income taxes, net of federal tax benefit (a)</w:t>
            </w:r>
          </w:p>
        </w:tc>
        <w:tc>
          <w:tcPr>
            <w:tcW w:w="17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2"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Permanent adjustments</w:t>
            </w:r>
          </w:p>
        </w:tc>
        <w:tc>
          <w:tcPr>
            <w:tcW w:w="17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12"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Change in valuation allowance</w:t>
            </w:r>
          </w:p>
        </w:tc>
        <w:tc>
          <w:tcPr>
            <w:tcW w:w="17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Valuation allowance release</w:t>
            </w:r>
          </w:p>
        </w:tc>
        <w:tc>
          <w:tcPr>
            <w:tcW w:w="17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pPr>
            <w:r>
              <w:rPr/>
              <w:t>—</w:t>
            </w:r>
          </w:p>
        </w:tc>
        <w:tc>
          <w:tcPr>
            <w:tcW w:w="112"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income tax (benefit) expense</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2" w:type="dxa"/>
            <w:tcBorders/>
            <w:shd w:fill="CCEEFF" w:val="clear"/>
            <w:vAlign w:val="center"/>
          </w:tcPr>
          <w:p>
            <w:pPr>
              <w:pStyle w:val="TableContents"/>
              <w:bidi w:val="0"/>
              <w:spacing w:before="0" w:after="283"/>
              <w:ind w:left="0" w:right="0" w:hanging="0"/>
              <w:jc w:val="left"/>
              <w:rPr/>
            </w:pPr>
            <w:r>
              <w:rPr/>
              <w:t> </w:t>
            </w:r>
          </w:p>
        </w:tc>
        <w:tc>
          <w:tcPr>
            <w:tcW w:w="4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rFonts w:ascii="Times New Roman" w:hAnsi="Times New Roman"/>
          <w:caps w:val="false"/>
          <w:smallCaps w:val="false"/>
          <w:sz w:val="20"/>
        </w:rPr>
        <w:t xml:space="preserve">(a) State taxes in California made up the majority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percent) of the tax effect in this category.</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5105"/>
        <w:gridCol w:w="60"/>
        <w:gridCol w:w="126"/>
        <w:gridCol w:w="553"/>
        <w:gridCol w:w="187"/>
        <w:gridCol w:w="60"/>
        <w:gridCol w:w="126"/>
        <w:gridCol w:w="553"/>
        <w:gridCol w:w="18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w:t>
            </w:r>
          </w:p>
        </w:tc>
        <w:tc>
          <w:tcPr>
            <w:tcW w:w="18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7"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Book income (loss) before income taxes of the TRS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2,905</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Statutory rate of 21%</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state and local income taxes, net of federal tax benefit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pPr>
            <w:r>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Permanent adjustments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 release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1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tax rate</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had valuation allowances against certain deferred tax assets totaling $19.4 million and $19.3 million, respectively. The increase in the valuation allowance was primarily from the net operating income during the year. The tax effect of each type of temporary difference and carry forward that gives rise to the deferred tax asset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4175"/>
        <w:gridCol w:w="60"/>
        <w:gridCol w:w="125"/>
        <w:gridCol w:w="650"/>
        <w:gridCol w:w="80"/>
        <w:gridCol w:w="60"/>
        <w:gridCol w:w="125"/>
        <w:gridCol w:w="650"/>
        <w:gridCol w:w="80"/>
      </w:tblGrid>
      <w:tr>
        <w:trPr/>
        <w:tc>
          <w:tcPr>
            <w:tcW w:w="4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80" w:type="dxa"/>
            <w:tcBorders/>
            <w:shd w:fill="FFFF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doubtful accounts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deferred tax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19,404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19,342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Valuation Allowance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 net of valuation allowance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book/tax difference in partnership</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deferred tax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deferred tax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each reporting date, the Company's management considers new evidence, both positive and negative, that could impact management's view with regard to future realization of net deferred tax assets. The Company's TRS continues to have cumulative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taxable losses.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TRS continues to recognize a full valuation allowance equal to 100% of the net deferred tax assets. Management will continue to monitor the need for a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TRS has income tax NOL carryforwards for Federal and various states of approximately $73.4 million and $65.0 million, respectively. The loss carryforwards begin to expire starting in </w:t>
      </w:r>
      <w:r>
        <w:rPr>
          <w:rStyle w:val="Emphasis"/>
          <w:rFonts w:ascii="Times New Roman" w:hAnsi="Times New Roman"/>
          <w:caps w:val="false"/>
          <w:smallCaps w:val="false"/>
          <w:sz w:val="20"/>
        </w:rPr>
        <w:t>2038</w:t>
      </w:r>
      <w:r>
        <w:rPr>
          <w:rFonts w:ascii="Times New Roman" w:hAnsi="Times New Roman"/>
          <w:caps w:val="false"/>
          <w:smallCaps w:val="false"/>
          <w:sz w:val="20"/>
        </w:rPr>
        <w:t xml:space="preserve"> for Federal tax purposes and in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and thereafter for state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635" w:type="dxa"/>
        <w:jc w:val="left"/>
        <w:tblInd w:w="0" w:type="dxa"/>
        <w:tblLayout w:type="fixed"/>
        <w:tblCellMar>
          <w:top w:w="0" w:type="dxa"/>
          <w:left w:w="0" w:type="dxa"/>
          <w:bottom w:w="0" w:type="dxa"/>
          <w:right w:w="0" w:type="dxa"/>
        </w:tblCellMar>
      </w:tblPr>
      <w:tblGrid>
        <w:gridCol w:w="170"/>
        <w:gridCol w:w="24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8.</w:t>
            </w:r>
          </w:p>
        </w:tc>
        <w:tc>
          <w:tcPr>
            <w:tcW w:w="2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Dividends Declared and Paid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Common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declared total common share dividends of $0.36 per share and distributions on LTIP units of $0.36 per unit during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declared total common share dividends of $0.28 per share and distributions on LTIP units of $0.28 per unit during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dividends and distributions and their tax characterization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8704" w:type="dxa"/>
        <w:jc w:val="left"/>
        <w:tblInd w:w="0" w:type="dxa"/>
        <w:tblLayout w:type="fixed"/>
        <w:tblCellMar>
          <w:top w:w="0" w:type="dxa"/>
          <w:left w:w="0" w:type="dxa"/>
          <w:bottom w:w="0" w:type="dxa"/>
          <w:right w:w="0" w:type="dxa"/>
        </w:tblCellMar>
      </w:tblPr>
      <w:tblGrid>
        <w:gridCol w:w="875"/>
        <w:gridCol w:w="60"/>
        <w:gridCol w:w="980"/>
        <w:gridCol w:w="60"/>
        <w:gridCol w:w="980"/>
        <w:gridCol w:w="60"/>
        <w:gridCol w:w="216"/>
        <w:gridCol w:w="764"/>
        <w:gridCol w:w="60"/>
        <w:gridCol w:w="60"/>
        <w:gridCol w:w="242"/>
        <w:gridCol w:w="738"/>
        <w:gridCol w:w="60"/>
        <w:gridCol w:w="60"/>
        <w:gridCol w:w="125"/>
        <w:gridCol w:w="695"/>
        <w:gridCol w:w="60"/>
        <w:gridCol w:w="60"/>
        <w:gridCol w:w="125"/>
        <w:gridCol w:w="1115"/>
        <w:gridCol w:w="60"/>
        <w:gridCol w:w="60"/>
        <w:gridCol w:w="172"/>
        <w:gridCol w:w="957"/>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LTIP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55" w:type="dxa"/>
            <w:gridSpan w:val="5"/>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764"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Taxable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Unrecaptured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Record</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Payment</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Ordinary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199A</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3/31/2025</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4/15/2025</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0.08191</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6/30/2025</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7/15/2025</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0.08191</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9/30/2025</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10/15/2025</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0.08191</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12/31/2025</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1/15/2026</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0.08191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0.00809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0.08191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55" w:type="dxa"/>
            <w:gridSpan w:val="5"/>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Total 2025</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0.32764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0.03236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0.32764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8284" w:type="dxa"/>
        <w:jc w:val="left"/>
        <w:tblInd w:w="0" w:type="dxa"/>
        <w:tblLayout w:type="fixed"/>
        <w:tblCellMar>
          <w:top w:w="0" w:type="dxa"/>
          <w:left w:w="0" w:type="dxa"/>
          <w:bottom w:w="0" w:type="dxa"/>
          <w:right w:w="0" w:type="dxa"/>
        </w:tblCellMar>
      </w:tblPr>
      <w:tblGrid>
        <w:gridCol w:w="875"/>
        <w:gridCol w:w="60"/>
        <w:gridCol w:w="980"/>
        <w:gridCol w:w="60"/>
        <w:gridCol w:w="980"/>
        <w:gridCol w:w="60"/>
        <w:gridCol w:w="241"/>
        <w:gridCol w:w="739"/>
        <w:gridCol w:w="60"/>
        <w:gridCol w:w="60"/>
        <w:gridCol w:w="242"/>
        <w:gridCol w:w="738"/>
        <w:gridCol w:w="60"/>
        <w:gridCol w:w="60"/>
        <w:gridCol w:w="125"/>
        <w:gridCol w:w="695"/>
        <w:gridCol w:w="60"/>
        <w:gridCol w:w="60"/>
        <w:gridCol w:w="125"/>
        <w:gridCol w:w="695"/>
        <w:gridCol w:w="60"/>
        <w:gridCol w:w="60"/>
        <w:gridCol w:w="172"/>
        <w:gridCol w:w="957"/>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LTIP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Taxable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Record</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Payment</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Ordinary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Return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199A</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3/28/2024</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4/15/2024</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0.05392</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6/28/2024</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7/15/2024</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0.05392</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9/30/2024</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10/15/2024</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0.05392</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12/31/2024</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1/15/2025</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0.05392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0.01608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0.05392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55" w:type="dxa"/>
            <w:gridSpan w:val="5"/>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Total 2024</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0.21568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0.06432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0.21568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91.01% of the distributions paid to common shareholders were considered ordinary income and 8.99% of the distributions paid to common shareholders were considered an unrecaptured Section </w:t>
      </w:r>
      <w:r>
        <w:rPr>
          <w:rStyle w:val="Emphasis"/>
          <w:rFonts w:ascii="Times New Roman" w:hAnsi="Times New Roman"/>
          <w:caps w:val="false"/>
          <w:smallCaps w:val="false"/>
          <w:sz w:val="20"/>
        </w:rPr>
        <w:t>1250</w:t>
      </w:r>
      <w:r>
        <w:rPr>
          <w:rFonts w:ascii="Times New Roman" w:hAnsi="Times New Roman"/>
          <w:caps w:val="false"/>
          <w:smallCaps w:val="false"/>
          <w:sz w:val="20"/>
        </w:rPr>
        <w:t xml:space="preserve"> gain.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77.03% of the distributions paid to common shareholders were considered ordinary income and 22.97% of the distributions paid to common shareholders were considered a return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Preferred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declared total dividends of $1.65624 and $1.65624, respectively, per share of 6.625% Series A Cumulative Redeemable Preferred Shares. The preferred dividends and their tax characterization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7834" w:type="dxa"/>
        <w:jc w:val="left"/>
        <w:tblInd w:w="0" w:type="dxa"/>
        <w:tblLayout w:type="fixed"/>
        <w:tblCellMar>
          <w:top w:w="0" w:type="dxa"/>
          <w:left w:w="0" w:type="dxa"/>
          <w:bottom w:w="0" w:type="dxa"/>
          <w:right w:w="0" w:type="dxa"/>
        </w:tblCellMar>
      </w:tblPr>
      <w:tblGrid>
        <w:gridCol w:w="875"/>
        <w:gridCol w:w="60"/>
        <w:gridCol w:w="980"/>
        <w:gridCol w:w="60"/>
        <w:gridCol w:w="980"/>
        <w:gridCol w:w="60"/>
        <w:gridCol w:w="125"/>
        <w:gridCol w:w="1085"/>
        <w:gridCol w:w="60"/>
        <w:gridCol w:w="60"/>
        <w:gridCol w:w="125"/>
        <w:gridCol w:w="695"/>
        <w:gridCol w:w="60"/>
        <w:gridCol w:w="60"/>
        <w:gridCol w:w="125"/>
        <w:gridCol w:w="1115"/>
        <w:gridCol w:w="60"/>
        <w:gridCol w:w="60"/>
        <w:gridCol w:w="172"/>
        <w:gridCol w:w="957"/>
        <w:gridCol w:w="60"/>
      </w:tblGrid>
      <w:tr>
        <w:trPr/>
        <w:tc>
          <w:tcPr>
            <w:tcW w:w="2955" w:type="dxa"/>
            <w:gridSpan w:val="5"/>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Dividend Per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Taxable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Unrecaptured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Record</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Payment</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Ordinary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199A</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w:t>
            </w:r>
          </w:p>
        </w:tc>
        <w:tc>
          <w:tcPr>
            <w:tcW w:w="60" w:type="dxa"/>
            <w:tcBorders/>
            <w:shd w:fill="CCEEFF" w:val="clear"/>
            <w:vAlign w:val="center"/>
          </w:tcPr>
          <w:p>
            <w:pPr>
              <w:pStyle w:val="TableContents"/>
              <w:bidi w:val="0"/>
              <w:spacing w:before="0" w:after="283"/>
              <w:ind w:left="0" w:right="0" w:hanging="0"/>
              <w:jc w:val="center"/>
              <w:rPr/>
            </w:pPr>
            <w:r>
              <w:rPr/>
              <w:t> </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3/31/2025</w:t>
            </w:r>
          </w:p>
        </w:tc>
        <w:tc>
          <w:tcPr>
            <w:tcW w:w="60" w:type="dxa"/>
            <w:tcBorders/>
            <w:shd w:fill="CCEEFF" w:val="clear"/>
            <w:vAlign w:val="center"/>
          </w:tcPr>
          <w:p>
            <w:pPr>
              <w:pStyle w:val="TableContents"/>
              <w:bidi w:val="0"/>
              <w:spacing w:before="0" w:after="283"/>
              <w:ind w:left="0" w:right="0" w:hanging="0"/>
              <w:jc w:val="center"/>
              <w:rPr/>
            </w:pPr>
            <w:r>
              <w:rPr/>
              <w:t> </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4/15/2025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0.37684</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6/30/2025</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7/15/2025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0.37684</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w:t>
            </w:r>
          </w:p>
        </w:tc>
        <w:tc>
          <w:tcPr>
            <w:tcW w:w="60" w:type="dxa"/>
            <w:tcBorders/>
            <w:shd w:fill="CCEEFF" w:val="clear"/>
            <w:vAlign w:val="center"/>
          </w:tcPr>
          <w:p>
            <w:pPr>
              <w:pStyle w:val="TableContents"/>
              <w:bidi w:val="0"/>
              <w:spacing w:before="0" w:after="283"/>
              <w:ind w:left="0" w:right="0" w:hanging="0"/>
              <w:jc w:val="center"/>
              <w:rPr/>
            </w:pPr>
            <w:r>
              <w:rPr/>
              <w:t> </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9/30/2025</w:t>
            </w:r>
          </w:p>
        </w:tc>
        <w:tc>
          <w:tcPr>
            <w:tcW w:w="60" w:type="dxa"/>
            <w:tcBorders/>
            <w:shd w:fill="CCEEFF" w:val="clear"/>
            <w:vAlign w:val="center"/>
          </w:tcPr>
          <w:p>
            <w:pPr>
              <w:pStyle w:val="TableContents"/>
              <w:bidi w:val="0"/>
              <w:spacing w:before="0" w:after="283"/>
              <w:ind w:left="0" w:right="0" w:hanging="0"/>
              <w:jc w:val="center"/>
              <w:rPr/>
            </w:pPr>
            <w:r>
              <w:rPr/>
              <w:t> </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10/15/2025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0.37684</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12/31/2025</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1/15/2026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0.37684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0.03722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0.37684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55" w:type="dxa"/>
            <w:gridSpan w:val="5"/>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Total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1.65624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1.50736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0.14888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1.50736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52" w:type="dxa"/>
        <w:jc w:val="left"/>
        <w:tblInd w:w="0" w:type="dxa"/>
        <w:tblLayout w:type="fixed"/>
        <w:tblCellMar>
          <w:top w:w="0" w:type="dxa"/>
          <w:left w:w="0" w:type="dxa"/>
          <w:bottom w:w="0" w:type="dxa"/>
          <w:right w:w="0" w:type="dxa"/>
        </w:tblCellMar>
      </w:tblPr>
      <w:tblGrid>
        <w:gridCol w:w="875"/>
        <w:gridCol w:w="60"/>
        <w:gridCol w:w="980"/>
        <w:gridCol w:w="60"/>
        <w:gridCol w:w="980"/>
        <w:gridCol w:w="60"/>
        <w:gridCol w:w="165"/>
        <w:gridCol w:w="919"/>
        <w:gridCol w:w="60"/>
        <w:gridCol w:w="60"/>
        <w:gridCol w:w="125"/>
        <w:gridCol w:w="695"/>
        <w:gridCol w:w="60"/>
        <w:gridCol w:w="60"/>
        <w:gridCol w:w="253"/>
        <w:gridCol w:w="531"/>
        <w:gridCol w:w="60"/>
        <w:gridCol w:w="60"/>
        <w:gridCol w:w="172"/>
        <w:gridCol w:w="957"/>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Per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Taxable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Record</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Payment</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Ordinary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Return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199A</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w:t>
            </w:r>
          </w:p>
        </w:tc>
        <w:tc>
          <w:tcPr>
            <w:tcW w:w="60" w:type="dxa"/>
            <w:tcBorders/>
            <w:shd w:fill="CCEEFF" w:val="clear"/>
            <w:vAlign w:val="center"/>
          </w:tcPr>
          <w:p>
            <w:pPr>
              <w:pStyle w:val="TableContents"/>
              <w:bidi w:val="0"/>
              <w:spacing w:before="0" w:after="283"/>
              <w:ind w:left="0" w:right="0" w:hanging="0"/>
              <w:jc w:val="center"/>
              <w:rPr/>
            </w:pPr>
            <w:r>
              <w:rPr/>
              <w:t> </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3/28/2024</w:t>
            </w:r>
          </w:p>
        </w:tc>
        <w:tc>
          <w:tcPr>
            <w:tcW w:w="60" w:type="dxa"/>
            <w:tcBorders/>
            <w:shd w:fill="CCEEFF" w:val="clear"/>
            <w:vAlign w:val="center"/>
          </w:tcPr>
          <w:p>
            <w:pPr>
              <w:pStyle w:val="TableContents"/>
              <w:bidi w:val="0"/>
              <w:spacing w:before="0" w:after="283"/>
              <w:ind w:left="0" w:right="0" w:hanging="0"/>
              <w:jc w:val="center"/>
              <w:rPr/>
            </w:pPr>
            <w:r>
              <w:rPr/>
              <w:t> </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4/15/2024</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6/28/2024</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7/15/2024</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5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w:t>
            </w:r>
          </w:p>
        </w:tc>
        <w:tc>
          <w:tcPr>
            <w:tcW w:w="60" w:type="dxa"/>
            <w:tcBorders/>
            <w:shd w:fill="CCEEFF" w:val="clear"/>
            <w:vAlign w:val="center"/>
          </w:tcPr>
          <w:p>
            <w:pPr>
              <w:pStyle w:val="TableContents"/>
              <w:bidi w:val="0"/>
              <w:spacing w:before="0" w:after="283"/>
              <w:ind w:left="0" w:right="0" w:hanging="0"/>
              <w:jc w:val="center"/>
              <w:rPr/>
            </w:pPr>
            <w:r>
              <w:rPr/>
              <w:t> </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9/30/2024</w:t>
            </w:r>
          </w:p>
        </w:tc>
        <w:tc>
          <w:tcPr>
            <w:tcW w:w="60" w:type="dxa"/>
            <w:tcBorders/>
            <w:shd w:fill="CCEEFF" w:val="clear"/>
            <w:vAlign w:val="center"/>
          </w:tcPr>
          <w:p>
            <w:pPr>
              <w:pStyle w:val="TableContents"/>
              <w:bidi w:val="0"/>
              <w:spacing w:before="0" w:after="283"/>
              <w:ind w:left="0" w:right="0" w:hanging="0"/>
              <w:jc w:val="center"/>
              <w:rPr/>
            </w:pPr>
            <w:r>
              <w:rPr/>
              <w:t> </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10/15/2024</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5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12/31/2024</w:t>
            </w:r>
          </w:p>
        </w:tc>
        <w:tc>
          <w:tcPr>
            <w:tcW w:w="60" w:type="dxa"/>
            <w:tcBorders/>
            <w:shd w:fill="FFFFFF" w:val="clear"/>
            <w:vAlign w:val="center"/>
          </w:tcPr>
          <w:p>
            <w:pPr>
              <w:pStyle w:val="TableContents"/>
              <w:bidi w:val="0"/>
              <w:spacing w:before="0" w:after="283"/>
              <w:ind w:left="0" w:right="0" w:hanging="0"/>
              <w:jc w:val="center"/>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1/15/2025</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0.41406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55" w:type="dxa"/>
            <w:gridSpan w:val="5"/>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Total 2024</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1.65624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1.65624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1.65624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91.01% of the distributions paid to preferred shareholders were considered ordinary income and 8.99% of the distributions paid to preferred shareholders were considered an unrecaptured Section </w:t>
      </w:r>
      <w:r>
        <w:rPr>
          <w:rStyle w:val="Emphasis"/>
          <w:rFonts w:ascii="Times New Roman" w:hAnsi="Times New Roman"/>
          <w:caps w:val="false"/>
          <w:smallCaps w:val="false"/>
          <w:sz w:val="20"/>
        </w:rPr>
        <w:t>1250</w:t>
      </w:r>
      <w:r>
        <w:rPr>
          <w:rFonts w:ascii="Times New Roman" w:hAnsi="Times New Roman"/>
          <w:caps w:val="false"/>
          <w:smallCaps w:val="false"/>
          <w:sz w:val="20"/>
        </w:rPr>
        <w:t xml:space="preserve"> gain..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100.0% of the distributions paid to preferred shareholders were considered ordinary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990" w:type="dxa"/>
        <w:jc w:val="left"/>
        <w:tblInd w:w="0" w:type="dxa"/>
        <w:tblLayout w:type="fixed"/>
        <w:tblCellMar>
          <w:top w:w="0" w:type="dxa"/>
          <w:left w:w="0" w:type="dxa"/>
          <w:bottom w:w="0" w:type="dxa"/>
          <w:right w:w="0" w:type="dxa"/>
        </w:tblCellMar>
      </w:tblPr>
      <w:tblGrid>
        <w:gridCol w:w="170"/>
        <w:gridCol w:w="182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9.</w:t>
            </w:r>
          </w:p>
        </w:tc>
        <w:tc>
          <w:tcPr>
            <w:tcW w:w="18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authorized to issue up to 500,000,000 common shares of beneficial interest, $0.01 par value per share ("common shares"). Each outstanding common share entitles the holder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vote on all matters submitted to a vote of shareholders. Holders of the Company’s common shares are entitled to receive dividends when authorized by the Company's Board of Trustees.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47,708,587 common shares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2017, </w:t>
      </w:r>
      <w:r>
        <w:rPr>
          <w:rFonts w:ascii="Times New Roman" w:hAnsi="Times New Roman"/>
          <w:caps w:val="false"/>
          <w:smallCaps w:val="false"/>
          <w:sz w:val="20"/>
        </w:rPr>
        <w:t xml:space="preserve">the Company established a $50 million dividend reinvestment and stock purchase plan (the "DRSPP") which renewed 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and renewed again 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 xml:space="preserve">Under the DRSPP, shareholders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purchase additional common shares by reinvesting some or all of the cash dividends received on common shares. Shareholders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make optional cash purchases of common shares subject to certain limitations detailed in the prospectus for the DRSPP. During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issued 7,630 common shares under the DRSPP at a weighted average price of $7.10, which generated $54 thousand of proceeds.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there was approximately $49.9 million of common shares available for issuance under the DRSPP.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2021, </w:t>
      </w:r>
      <w:r>
        <w:rPr>
          <w:rFonts w:ascii="Times New Roman" w:hAnsi="Times New Roman"/>
          <w:caps w:val="false"/>
          <w:smallCaps w:val="false"/>
          <w:sz w:val="20"/>
        </w:rPr>
        <w:t xml:space="preserve">the Company established an "at-the-market" equity offering program (the "ATM Program") whereby, 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publicly offer and sell its common shares having an aggregate offering price of up to $100 million by means of ordinary brokers transactions on the New York Stock Exchange (the "NYSE"), in negotiated transactions or in transactions deemed to be "at-the-market" offerings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 xml:space="preserve">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Company did not issue any common shares under the ATM Program during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there was approximately $77.5 million of common shares available for issuance under the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May 2025,</w:t>
      </w:r>
      <w:r>
        <w:rPr>
          <w:rFonts w:ascii="Times New Roman" w:hAnsi="Times New Roman"/>
          <w:caps w:val="false"/>
          <w:smallCaps w:val="false"/>
          <w:sz w:val="20"/>
        </w:rPr>
        <w:t> the Board of Trustees authorized and approved a $25.0 million share repurchase program (the "Share Repurchase Program") of common shares of the Company. Under the Share Repurchase Program, the Company has the ability to repurchase up to $25.0 million of common shares through open market purchases or other privately negotiated transactions at times and in amounts as the Company deems appropriate. The Share Repurchase Program has </w:t>
      </w:r>
      <w:r>
        <w:rPr>
          <w:rStyle w:val="Emphasis"/>
          <w:rFonts w:ascii="Times New Roman" w:hAnsi="Times New Roman"/>
          <w:caps w:val="false"/>
          <w:smallCaps w:val="false"/>
          <w:sz w:val="20"/>
        </w:rPr>
        <w:t>no</w:t>
      </w:r>
      <w:r>
        <w:rPr>
          <w:rFonts w:ascii="Times New Roman" w:hAnsi="Times New Roman"/>
          <w:caps w:val="false"/>
          <w:smallCaps w:val="false"/>
          <w:sz w:val="20"/>
        </w:rPr>
        <w:t> time limit and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suspended or discontinued at any time. During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repurchased 1,313,795 common shares at a weighted-average price per share of $6.83 for an aggregate purchase price, including commissions, of approximately $9.0 million.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there was approximately $16.0 million of common shares available for repurchase under the Share Repurchase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authorized to issue up to 100,000,000 preferred shares, $0.01 par value per share,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30, 2021, </w:t>
      </w:r>
      <w:r>
        <w:rPr>
          <w:rFonts w:ascii="Times New Roman" w:hAnsi="Times New Roman"/>
          <w:caps w:val="false"/>
          <w:smallCaps w:val="false"/>
          <w:sz w:val="20"/>
        </w:rPr>
        <w:t xml:space="preserve">the Company issued 4,800,000 6.625% Series A Cumulative Redeemable Preferred Shares of Beneficial Interest, $0.01 par value per share (the “Series A Preferred Shares”), and received net proceeds of approximately $115.9 million. The Series A Preferred Shares rank senior to the Company’s common shares with respect to the payment of dividends and distributions of assets in the event of a liquidation, dissolution, or winding up. The Series A Preferred Shares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maturity date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mandatory redemptions or sinking fund requirements. The distribution rate is 6.625% per annum of the $25.00 liquidation preference, which is equivalent to $1.65624 per annum per Series A Preferred Share. Distributions on the Series A Preferred Shares are payable quarterly in arrears with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distribution on the Series A Preferred Shares paid on </w:t>
      </w:r>
      <w:r>
        <w:rPr>
          <w:rStyle w:val="Emphasis"/>
          <w:rFonts w:ascii="Times New Roman" w:hAnsi="Times New Roman"/>
          <w:caps w:val="false"/>
          <w:smallCaps w:val="false"/>
          <w:sz w:val="20"/>
        </w:rPr>
        <w:t xml:space="preserve">October 15, 2021. </w:t>
      </w: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redeem the Series A Preferred Shares before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except in limited circumstances to preserve the Company's status as a REIT for federal income tax purposes and upon the occurrence of a change of control. On and after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its option, redeem the Series A Preferred Shares, in whole or from time to time in part, by paying $25.00 per share, plus any accrued and unpaid distributions to,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including, the date of redemption. Upon the occurrence of a change of control, as defined in the Company's declaration of trust, the result of which the Company’s common shares and the common securities of the acquiring or surviving entity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listed on the New York Stock Exchange, the NYSE MKT or NASDAQ, or any successor exchanges,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its option, redeem the Series A Preferred Shares in whole or in part within </w:t>
      </w:r>
      <w:r>
        <w:rPr>
          <w:rStyle w:val="Emphasis"/>
          <w:rFonts w:ascii="Times New Roman" w:hAnsi="Times New Roman"/>
          <w:caps w:val="false"/>
          <w:smallCaps w:val="false"/>
          <w:sz w:val="20"/>
        </w:rPr>
        <w:t>120</w:t>
      </w:r>
      <w:r>
        <w:rPr>
          <w:rFonts w:ascii="Times New Roman" w:hAnsi="Times New Roman"/>
          <w:caps w:val="false"/>
          <w:smallCaps w:val="false"/>
          <w:sz w:val="20"/>
        </w:rPr>
        <w:t xml:space="preserve"> days following the change of control by paying $25.00 per share, plus any accrued and unpaid distributions through the date of redemption. If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exercise its right to redeem the Series A Preferred Shares upon a change of control, the holders of the Series A Preferred Shares have the right to convert some or all of their shares into a number of the Company’s common shares based on defined formulas subject to share caps. The share cap on each Series A Preferred Share is 3.701 common shares.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4,800,000 Series A Preferred Shares were issued and outstanding. During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 paid preferred share dividends of $8.0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Operating Partnership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Holders of common units in the Operating Partnership, if and when issued, will have certain redemption rights, which will enable the unit holders to cause the Operating Partnership to redeem their units in exchange for, at the Company’s option, cash per unit equal to the market price of the Company’s common shares at the time of redemption or for the Company’s common shares on a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basis. The number of shares issuable upon exercise of the redemption rights will be adjusted upon the occurrence of share splits, mergers, consolidations or similar pro-rata share transactions, which otherwise would have the effect of diluting the ownership interests of limited partners or shareholders. During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issued 33,396 of common shares in exchange for outstanding LTIP units on a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basis.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there were 2,191,510 vested Operating Partnership LTIP units held by current and former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10.</w:t>
            </w:r>
          </w:p>
        </w:tc>
        <w:tc>
          <w:tcPr>
            <w:tcW w:w="16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class method is used to determine earnings per share because unvested restricted shares and unvested LTIP units are considered to be participating shares. The LTIP units held by the non-controlling interest holders,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converted to common shares of beneficial interest, have been excluded from the denominator of the diluted earnings per share calculation as there would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 on the amounts since limited partners' share of income or loss would also be added back to net income or loss. Unvested restricted shares, unvested long-term incentive plan units and unvested Class A Performance LTIP units that could potentially dilute basic earnings per share in the future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included in the computation of diluted loss per share for the periods where a loss has been recorded, because they would have been anti-dilutive for the periods presented.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the Company excluded zero, 414,635, and 157,641, respectively, of unvested shares and units as their effect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reconciliation of the amounts used in calculating basic and diluted net income per share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60"/>
        <w:gridCol w:w="60"/>
        <w:gridCol w:w="125"/>
        <w:gridCol w:w="950"/>
        <w:gridCol w:w="80"/>
        <w:gridCol w:w="60"/>
        <w:gridCol w:w="125"/>
        <w:gridCol w:w="950"/>
        <w:gridCol w:w="80"/>
        <w:gridCol w:w="60"/>
        <w:gridCol w:w="125"/>
        <w:gridCol w:w="950"/>
        <w:gridCol w:w="80"/>
      </w:tblGrid>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5"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on unvested shares and units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48,793,017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48,900,997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48,847,386</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shares and units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1,199,052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49,992,069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48,900,997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48,847,386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income (loss)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 per weighted average basic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income (loss)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attributable to common shareholders per weighted average diluted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125" w:type="dxa"/>
        <w:jc w:val="left"/>
        <w:tblInd w:w="0" w:type="dxa"/>
        <w:tblLayout w:type="fixed"/>
        <w:tblCellMar>
          <w:top w:w="0" w:type="dxa"/>
          <w:left w:w="0" w:type="dxa"/>
          <w:bottom w:w="0" w:type="dxa"/>
          <w:right w:w="0" w:type="dxa"/>
        </w:tblCellMar>
      </w:tblPr>
      <w:tblGrid>
        <w:gridCol w:w="275"/>
        <w:gridCol w:w="185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11.</w:t>
            </w:r>
          </w:p>
        </w:tc>
        <w:tc>
          <w:tcPr>
            <w:tcW w:w="18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maintains its Equity Incentive Plan to attract and retain independent trustees, executive officers and other key employees. The plan provides for the grant of options to purchase common shares, share awards, share appreciation rights, performance units, and other equity-based awards. The plan was amended on </w:t>
      </w:r>
      <w:r>
        <w:rPr>
          <w:rStyle w:val="Emphasis"/>
          <w:rFonts w:ascii="Times New Roman" w:hAnsi="Times New Roman"/>
          <w:caps w:val="false"/>
          <w:smallCaps w:val="false"/>
          <w:sz w:val="20"/>
        </w:rPr>
        <w:t>May 6, 2025 </w:t>
      </w:r>
      <w:r>
        <w:rPr>
          <w:rFonts w:ascii="Times New Roman" w:hAnsi="Times New Roman"/>
          <w:caps w:val="false"/>
          <w:smallCaps w:val="false"/>
          <w:sz w:val="20"/>
        </w:rPr>
        <w:t>to increase the maximum number of shares available under the plan by 2,150,000 shares and to increase the individual grant limit with respect to performance units. The plan has a 10-year term that expires on </w:t>
      </w:r>
      <w:r>
        <w:rPr>
          <w:rStyle w:val="Emphasis"/>
          <w:rFonts w:ascii="Times New Roman" w:hAnsi="Times New Roman"/>
          <w:caps w:val="false"/>
          <w:smallCaps w:val="false"/>
          <w:sz w:val="20"/>
        </w:rPr>
        <w:t xml:space="preserve"> March 22, 2032. </w:t>
      </w:r>
      <w:r>
        <w:rPr>
          <w:rFonts w:ascii="Times New Roman" w:hAnsi="Times New Roman"/>
          <w:caps w:val="false"/>
          <w:smallCaps w:val="false"/>
          <w:sz w:val="20"/>
        </w:rPr>
        <w:t xml:space="preserve">Share awards under the plan generally vest over three to five years, though compensation for the Company’s independent trustees includes share grants that vest immediately. The Company pays dividends on unvested shares and units, except for performance-based units, for which 10% of dividends on unvested performance-based units are paid and the remaining 90% of dividends are accrued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paid until those units vest. Certain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provide for accelerated vesting if there is a change in control.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there were 2,271,462 common shares available for issuance under the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Restricted Share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award restricted shares under the Equity Incentive Plan as compensation to officers, employees and non-employee trustees. The Company recognizes compensation expense for the restricted shares on a straight-line basis over the vesting period based on the fair market value of the shares on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 summary of the Company’s restricted share awards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3"/>
        <w:gridCol w:w="60"/>
        <w:gridCol w:w="81"/>
        <w:gridCol w:w="800"/>
        <w:gridCol w:w="91"/>
        <w:gridCol w:w="68"/>
        <w:gridCol w:w="249"/>
        <w:gridCol w:w="971"/>
        <w:gridCol w:w="60"/>
        <w:gridCol w:w="60"/>
        <w:gridCol w:w="87"/>
        <w:gridCol w:w="795"/>
        <w:gridCol w:w="94"/>
        <w:gridCol w:w="70"/>
        <w:gridCol w:w="249"/>
        <w:gridCol w:w="971"/>
        <w:gridCol w:w="60"/>
        <w:gridCol w:w="60"/>
        <w:gridCol w:w="87"/>
        <w:gridCol w:w="795"/>
        <w:gridCol w:w="94"/>
        <w:gridCol w:w="70"/>
        <w:gridCol w:w="249"/>
        <w:gridCol w:w="971"/>
        <w:gridCol w:w="70"/>
      </w:tblGrid>
      <w:tr>
        <w:trPr/>
        <w:tc>
          <w:tcPr>
            <w:tcW w:w="30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rStyle w:val="Emphasis"/>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rStyle w:val="Emphasis"/>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w:t>
            </w:r>
          </w:p>
        </w:tc>
        <w:tc>
          <w:tcPr>
            <w:tcW w:w="70" w:type="dxa"/>
            <w:tcBorders/>
            <w:shd w:fill="FFFF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rStyle w:val="Emphasis"/>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rStyle w:val="Emphasis"/>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70" w:type="dxa"/>
            <w:tcBorders/>
            <w:shd w:fill="FFFF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w:t>
            </w:r>
          </w:p>
        </w:tc>
        <w:tc>
          <w:tcPr>
            <w:tcW w:w="70" w:type="dxa"/>
            <w:tcBorders/>
            <w:shd w:fill="FFFF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beginning of the period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4,581</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5,789</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6,666</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w:t>
            </w:r>
          </w:p>
        </w:tc>
        <w:tc>
          <w:tcPr>
            <w:tcW w:w="70"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8,044</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2,943</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2,457</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70"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(4,151</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w:t>
            </w:r>
          </w:p>
        </w:tc>
        <w:tc>
          <w:tcPr>
            <w:tcW w:w="70"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at end of the period</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10,825</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4,581</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5,789</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w:t>
            </w:r>
          </w:p>
        </w:tc>
        <w:tc>
          <w:tcPr>
            <w:tcW w:w="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there were $60 thousand and $33 thousand, respectively, of unrecognized compensation costs related to restricted share awards.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these costs were expected to be recognized over a weighted–average period of approximately 1.9 years.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the Company recognized approximately $38 thousand, $42 thousand and $47 thousand, respectively, of expense related to the restricted share awards. This expense is included in general and administrative expenses in the accompanying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Long-Term Incentive Plan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LTIP units are a special class of partnership interests in the Operating Partnership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to eligible participants for the performance of services to or for the benefit of the Company. Under the Equity Incentive Plan, each LTIP unit issued is deemed equivalent to an award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common share thereby reducing the number of shares available for other equity awards on a </w:t>
      </w:r>
      <w:r>
        <w:rPr>
          <w:rStyle w:val="Emphasis"/>
          <w:rFonts w:ascii="Times New Roman" w:hAnsi="Times New Roman"/>
          <w:caps w:val="false"/>
          <w:smallCaps w:val="false"/>
          <w:sz w:val="20"/>
        </w:rPr>
        <w:t>one</w:t>
      </w:r>
      <w:r>
        <w:rPr>
          <w:rFonts w:ascii="Times New Roman" w:hAnsi="Times New Roman"/>
          <w:caps w:val="false"/>
          <w:smallCaps w:val="false"/>
          <w:sz w:val="20"/>
        </w:rPr>
        <w:t>-for-</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80"/>
        <w:jc w:val="left"/>
        <w:rPr/>
      </w:pPr>
      <w:r>
        <w:rPr>
          <w:rFonts w:ascii="Times New Roman" w:hAnsi="Times New Roman"/>
          <w:caps w:val="false"/>
          <w:smallCaps w:val="false"/>
          <w:sz w:val="20"/>
        </w:rPr>
        <w:t xml:space="preserve">A summary of the Company's LTIP unit awards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is as follows:</w:t>
      </w:r>
    </w:p>
    <w:p>
      <w:pPr>
        <w:pStyle w:val="TextBody"/>
        <w:bidi w:val="0"/>
        <w:spacing w:before="0" w:after="0"/>
        <w:ind w:left="0" w:right="0" w:firstLine="9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4"/>
        <w:gridCol w:w="60"/>
        <w:gridCol w:w="60"/>
        <w:gridCol w:w="845"/>
        <w:gridCol w:w="80"/>
        <w:gridCol w:w="60"/>
        <w:gridCol w:w="249"/>
        <w:gridCol w:w="973"/>
        <w:gridCol w:w="60"/>
        <w:gridCol w:w="60"/>
        <w:gridCol w:w="60"/>
        <w:gridCol w:w="845"/>
        <w:gridCol w:w="80"/>
        <w:gridCol w:w="60"/>
        <w:gridCol w:w="249"/>
        <w:gridCol w:w="973"/>
        <w:gridCol w:w="60"/>
        <w:gridCol w:w="60"/>
        <w:gridCol w:w="63"/>
        <w:gridCol w:w="823"/>
        <w:gridCol w:w="81"/>
        <w:gridCol w:w="60"/>
        <w:gridCol w:w="249"/>
        <w:gridCol w:w="973"/>
        <w:gridCol w:w="68"/>
      </w:tblGrid>
      <w:tr>
        <w:trPr/>
        <w:tc>
          <w:tcPr>
            <w:tcW w:w="30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w:t>
            </w:r>
          </w:p>
        </w:tc>
        <w:tc>
          <w:tcPr>
            <w:tcW w:w="68" w:type="dxa"/>
            <w:tcBorders/>
            <w:shd w:fill="FFFFFF" w:val="clear"/>
            <w:vAlign w:val="center"/>
          </w:tcPr>
          <w:p>
            <w:pPr>
              <w:pStyle w:val="TableContents"/>
              <w:bidi w:val="0"/>
              <w:spacing w:before="0" w:after="283"/>
              <w:jc w:val="left"/>
              <w:rPr/>
            </w:pPr>
            <w:r>
              <w:rPr/>
              <w:t> </w:t>
            </w:r>
          </w:p>
        </w:tc>
      </w:tr>
      <w:tr>
        <w:trPr/>
        <w:tc>
          <w:tcPr>
            <w:tcW w:w="30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68" w:type="dxa"/>
            <w:tcBorders/>
            <w:shd w:fill="FFFFFF" w:val="clear"/>
            <w:vAlign w:val="center"/>
          </w:tcPr>
          <w:p>
            <w:pPr>
              <w:pStyle w:val="TableContents"/>
              <w:bidi w:val="0"/>
              <w:spacing w:before="0" w:after="283"/>
              <w:jc w:val="left"/>
              <w:rPr/>
            </w:pPr>
            <w:r>
              <w:rPr/>
              <w:t> </w:t>
            </w:r>
          </w:p>
        </w:tc>
      </w:tr>
      <w:tr>
        <w:trPr/>
        <w:tc>
          <w:tcPr>
            <w:tcW w:w="30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w:t>
            </w:r>
          </w:p>
        </w:tc>
        <w:tc>
          <w:tcPr>
            <w:tcW w:w="68" w:type="dxa"/>
            <w:tcBorders/>
            <w:shd w:fill="FFFFFF" w:val="clear"/>
            <w:vAlign w:val="center"/>
          </w:tcPr>
          <w:p>
            <w:pPr>
              <w:pStyle w:val="TableContents"/>
              <w:bidi w:val="0"/>
              <w:spacing w:before="0" w:after="283"/>
              <w:jc w:val="left"/>
              <w:rPr/>
            </w:pPr>
            <w:r>
              <w:rPr/>
              <w:t> </w:t>
            </w:r>
          </w:p>
        </w:tc>
      </w:tr>
      <w:tr>
        <w:trPr/>
        <w:tc>
          <w:tcPr>
            <w:tcW w:w="30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Units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Units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Units</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beginning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905,525</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w:t>
            </w:r>
          </w:p>
        </w:tc>
        <w:tc>
          <w:tcPr>
            <w:tcW w:w="68" w:type="dxa"/>
            <w:tcBorders/>
            <w:shd w:fill="CCEEFF" w:val="clear"/>
            <w:vAlign w:val="center"/>
          </w:tcPr>
          <w:p>
            <w:pPr>
              <w:pStyle w:val="TableContents"/>
              <w:bidi w:val="0"/>
              <w:spacing w:before="0" w:after="283"/>
              <w:jc w:val="left"/>
              <w:rPr/>
            </w:pPr>
            <w:r>
              <w:rPr/>
              <w:t> </w:t>
            </w:r>
          </w:p>
        </w:tc>
      </w:tr>
      <w:tr>
        <w:trPr/>
        <w:tc>
          <w:tcPr>
            <w:tcW w:w="30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634,293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512,264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466,988</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w:t>
            </w:r>
          </w:p>
        </w:tc>
        <w:tc>
          <w:tcPr>
            <w:tcW w:w="68" w:type="dxa"/>
            <w:tcBorders/>
            <w:shd w:fill="FFFFFF" w:val="clear"/>
            <w:vAlign w:val="center"/>
          </w:tcPr>
          <w:p>
            <w:pPr>
              <w:pStyle w:val="TableContents"/>
              <w:bidi w:val="0"/>
              <w:spacing w:before="0" w:after="283"/>
              <w:jc w:val="left"/>
              <w:rPr/>
            </w:pPr>
            <w:r>
              <w:rPr/>
              <w:t> </w:t>
            </w:r>
          </w:p>
        </w:tc>
      </w:tr>
      <w:tr>
        <w:trPr/>
        <w:tc>
          <w:tcPr>
            <w:tcW w:w="30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(315,563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(322,025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(372,558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68" w:type="dxa"/>
            <w:tcBorders/>
            <w:shd w:fill="CCEEFF" w:val="clear"/>
            <w:vAlign w:val="center"/>
          </w:tcPr>
          <w:p>
            <w:pPr>
              <w:pStyle w:val="TableContents"/>
              <w:bidi w:val="0"/>
              <w:spacing w:before="0" w:after="283"/>
              <w:jc w:val="left"/>
              <w:rPr/>
            </w:pPr>
            <w:r>
              <w:rPr/>
              <w:t> </w:t>
            </w:r>
          </w:p>
        </w:tc>
      </w:tr>
      <w:tr>
        <w:trPr/>
        <w:tc>
          <w:tcPr>
            <w:tcW w:w="30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r>
      <w:tr>
        <w:trPr/>
        <w:tc>
          <w:tcPr>
            <w:tcW w:w="30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1,377,563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1,139,564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999,955</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w:t>
            </w:r>
          </w:p>
        </w:tc>
        <w:tc>
          <w:tcPr>
            <w:tcW w:w="6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98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Time-Based LTIP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1, 2025</w:t>
      </w:r>
      <w:r>
        <w:rPr>
          <w:rFonts w:ascii="Times New Roman" w:hAnsi="Times New Roman"/>
          <w:caps w:val="false"/>
          <w:smallCaps w:val="false"/>
          <w:sz w:val="20"/>
        </w:rPr>
        <w:t>, the Company’s Operating Partnership, upon the recommendation of the Compensation Committee, granted 253,722 time-based awards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Time-Based LTIP Unit Award”). The grants were made pursuant to award agreements that provide for time-based vesting (the "LTIP Unit Time-Based Vesting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Time-Based LTIP Unit Awards will vest ratably provided that the recipient remains employed by the Company through the applicable vesting date, subject to acceleration of vesting in the event of the recipient’s death, disability, termination without cause or resignation with good reason, or in the event of a change of control of the Company. Prior to vesting, a holder is entitled to receive distributions on the LTIP units that comprise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Time-Based LTIP Unit Awards and the prior year LTIP unit awards set forth in the table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Performance-Based LTIP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1, 2025</w:t>
      </w:r>
      <w:r>
        <w:rPr>
          <w:rFonts w:ascii="Times New Roman" w:hAnsi="Times New Roman"/>
          <w:caps w:val="false"/>
          <w:smallCaps w:val="false"/>
          <w:sz w:val="20"/>
        </w:rPr>
        <w:t>, the Company’s Operating Partnership, upon the recommendation of the Compensation Committee, also granted 380,571 performance-based awards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Performance-Based LTIP Unit Awards"). The grants were made pursuant to award agreements that have market based vesting conditions. The Performance-Based LTIP Unit Awards are comprised of Class A Performance LTIP units that will vest only if and to the extent that (i) the Company achieves certain long-term market based TSR criteria established by the Compensation Committee and (ii) the recipient remains employed by the Company through the applicable vesting date, subject to acceleration of vesting in the event of the recipient’s death, disability, termination without cause or resignation with good reason, or in the event of a change of control of the Company. Compensation expense is based on an estimated value of $9.37 per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Performance-Based LTIP Unit Award, which takes into account that the number of units that ultimately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vest will depend on the achievement of long-term market-based TSR criteria.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Performance-Based LTIP Unit Awards have an absolute negative TSR modifier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reduce payout percentages if the absolute TSR over the measurement period is negative.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Performance-Based LTIP Unit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earned based on the Company's relative TSR performance for the three-year period beginning on </w:t>
      </w:r>
      <w:r>
        <w:rPr>
          <w:rStyle w:val="Emphasis"/>
          <w:rFonts w:ascii="Times New Roman" w:hAnsi="Times New Roman"/>
          <w:caps w:val="false"/>
          <w:smallCaps w:val="false"/>
          <w:sz w:val="20"/>
        </w:rPr>
        <w:t>March 1, 2025</w:t>
      </w:r>
      <w:r>
        <w:rPr>
          <w:rFonts w:ascii="Times New Roman" w:hAnsi="Times New Roman"/>
          <w:caps w:val="false"/>
          <w:smallCaps w:val="false"/>
          <w:sz w:val="20"/>
        </w:rPr>
        <w:t xml:space="preserve"> and ending on </w:t>
      </w:r>
      <w:r>
        <w:rPr>
          <w:rStyle w:val="Emphasis"/>
          <w:rFonts w:ascii="Times New Roman" w:hAnsi="Times New Roman"/>
          <w:caps w:val="false"/>
          <w:smallCaps w:val="false"/>
          <w:sz w:val="20"/>
        </w:rPr>
        <w:t>February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Performance-Based LTIP Unit Awards, if earned, will be paid out between 50% and 200% of target value as follows:</w:t>
      </w:r>
    </w:p>
    <w:p>
      <w:pPr>
        <w:pStyle w:val="TextBody"/>
        <w:bidi w:val="0"/>
        <w:spacing w:before="0" w:after="0"/>
        <w:ind w:left="0" w:right="0" w:firstLine="72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860"/>
        <w:gridCol w:w="2765"/>
        <w:gridCol w:w="60"/>
        <w:gridCol w:w="1520"/>
        <w:gridCol w:w="60"/>
      </w:tblGrid>
      <w:tr>
        <w:trPr/>
        <w:tc>
          <w:tcPr>
            <w:tcW w:w="860" w:type="dxa"/>
            <w:tcBorders/>
            <w:vAlign w:val="center"/>
          </w:tcPr>
          <w:p>
            <w:pPr>
              <w:pStyle w:val="TableContents"/>
              <w:bidi w:val="0"/>
              <w:spacing w:before="0" w:after="283"/>
              <w:ind w:left="0" w:right="0" w:hanging="0"/>
              <w:jc w:val="left"/>
              <w:rPr/>
            </w:pPr>
            <w:r>
              <w:rPr/>
              <w:t> </w:t>
            </w:r>
          </w:p>
        </w:tc>
        <w:tc>
          <w:tcPr>
            <w:tcW w:w="27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Relative TSR Hurdles (Percentile)</w:t>
            </w:r>
          </w:p>
        </w:tc>
        <w:tc>
          <w:tcPr>
            <w:tcW w:w="60" w:type="dxa"/>
            <w:tcBorders/>
            <w:vAlign w:val="center"/>
          </w:tcPr>
          <w:p>
            <w:pPr>
              <w:pStyle w:val="TableContents"/>
              <w:bidi w:val="0"/>
              <w:spacing w:before="0" w:after="283"/>
              <w:ind w:left="0" w:right="0" w:hanging="0"/>
              <w:jc w:val="left"/>
              <w:rPr/>
            </w:pPr>
            <w:r>
              <w:rPr/>
              <w:t> </w:t>
            </w:r>
          </w:p>
        </w:tc>
        <w:tc>
          <w:tcPr>
            <w:tcW w:w="15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Payout Percentage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Threshold</w:t>
            </w:r>
          </w:p>
        </w:tc>
        <w:tc>
          <w:tcPr>
            <w:tcW w:w="27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25th</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Target</w:t>
            </w:r>
          </w:p>
        </w:tc>
        <w:tc>
          <w:tcPr>
            <w:tcW w:w="276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55th</w:t>
            </w:r>
          </w:p>
        </w:tc>
        <w:tc>
          <w:tcPr>
            <w:tcW w:w="60"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Maximum</w:t>
            </w:r>
          </w:p>
        </w:tc>
        <w:tc>
          <w:tcPr>
            <w:tcW w:w="27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80th</w:t>
            </w:r>
          </w:p>
        </w:tc>
        <w:tc>
          <w:tcPr>
            <w:tcW w:w="60"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Payouts at performance levels in between the hurdles will be calculated by straight-line interpolation.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estimated the aggregate compensation cost to be recognized over the service period determined as of the grant date under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excluding the effect of estimated forfeitures, using the Monte Carlo Approach. In determining the discounted value of the LTIP units, the Company considered the inherent uncertainty that the LTIP units would never reach parity with the other common units of the Operating Partnership and thus have an economic value of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to the grantee. Additional factors considered in estimating the value of the LTIP units included discounts for illiquidity; expectations for future dividends; risk free interest rates; stock volatility; and economic environment and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grant date fair value of the LTIPs and the assumptions used to estimate the values are as follows:</w:t>
      </w:r>
    </w:p>
    <w:p>
      <w:pPr>
        <w:pStyle w:val="TextBody"/>
        <w:bidi w:val="0"/>
        <w:spacing w:before="0" w:after="0"/>
        <w:ind w:left="0" w:right="0" w:hanging="0"/>
        <w:jc w:val="left"/>
        <w:rPr>
          <w:caps w:val="false"/>
          <w:smallCaps w:val="false"/>
        </w:rPr>
      </w:pPr>
      <w:r>
        <w:rPr>
          <w:caps w:val="false"/>
          <w:smallCaps w:val="false"/>
        </w:rPr>
        <w:t> </w:t>
      </w:r>
    </w:p>
    <w:tbl>
      <w:tblPr>
        <w:tblW w:w="10009" w:type="dxa"/>
        <w:jc w:val="left"/>
        <w:tblInd w:w="0" w:type="dxa"/>
        <w:tblLayout w:type="fixed"/>
        <w:tblCellMar>
          <w:top w:w="0" w:type="dxa"/>
          <w:left w:w="0" w:type="dxa"/>
          <w:bottom w:w="0" w:type="dxa"/>
          <w:right w:w="0" w:type="dxa"/>
        </w:tblCellMar>
      </w:tblPr>
      <w:tblGrid>
        <w:gridCol w:w="3815"/>
        <w:gridCol w:w="935"/>
        <w:gridCol w:w="60"/>
        <w:gridCol w:w="60"/>
        <w:gridCol w:w="695"/>
        <w:gridCol w:w="60"/>
        <w:gridCol w:w="60"/>
        <w:gridCol w:w="176"/>
        <w:gridCol w:w="684"/>
        <w:gridCol w:w="60"/>
        <w:gridCol w:w="60"/>
        <w:gridCol w:w="168"/>
        <w:gridCol w:w="647"/>
        <w:gridCol w:w="185"/>
        <w:gridCol w:w="60"/>
        <w:gridCol w:w="137"/>
        <w:gridCol w:w="633"/>
        <w:gridCol w:w="185"/>
        <w:gridCol w:w="60"/>
        <w:gridCol w:w="147"/>
        <w:gridCol w:w="937"/>
        <w:gridCol w:w="185"/>
      </w:tblGrid>
      <w:tr>
        <w:trPr/>
        <w:tc>
          <w:tcPr>
            <w:tcW w:w="381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Dividend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Risk-Free</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Grant Date</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Granted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 Unit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Volatility</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Yield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Interest 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2020 Time-Based LTIP Unit Awards</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2020 Performance-Based LTIP Unit Awards (1)</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2021 Time-Based LTIP Unit Awards</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2021 Performance-Based LTIP Unit Awards (2)</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 Time-Based LTIP Unit Awards</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 Performance-Based LTIP Unit Awards (3)</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 Time-Based LTIP Unit Awards</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 Performance-Based LTIP Unit Awards</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Time-Based LTIP Unit Awards</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Performance-Based LTIP Unit Awards</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Time-Based LTIP Unit Awards</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Performance-Based LTIP Unit Awards</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following the end of the measurement period, the Company’s TSR met certain criteria and based on the Company’s TSR over the measurement period, 234,361 LTIP units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following the end of the measurement period, the Company’s TSR met certain criteria and based on the Company’s TSR over the measurement period, 170,173 LTIP units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February 2025, </w:t>
      </w:r>
      <w:r>
        <w:rPr>
          <w:rFonts w:ascii="Times New Roman" w:hAnsi="Times New Roman"/>
          <w:caps w:val="false"/>
          <w:smallCaps w:val="false"/>
          <w:sz w:val="20"/>
        </w:rPr>
        <w:t>following the end of the measurement period, the Company’s TSR met certain criteria and based on the Company’s TSR over the measurement period, 142,905 LTIP units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recorded $5.7 million, $5.8 million and $5.6 million in compensation expense related to the LTIP units for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there was $6.5 million and $6.8 million, respectively, of total unrecognized compensation cost related to LTIP units. This cost is expected to be recognized over approximately 1.7 years, which represents the weighted average remaining vesting period of the LTIP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Board of Trustee Share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each independent trustee was compensated $135 thousand, $135 thousand, and $120 thousand, respectively, for their services. Each trustee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elect to receive up to 100% of their compensation in the form of shares, but must receive at least 59% in the form of shares. In </w:t>
      </w:r>
      <w:r>
        <w:rPr>
          <w:rStyle w:val="Emphasis"/>
          <w:rFonts w:ascii="Times New Roman" w:hAnsi="Times New Roman"/>
          <w:caps w:val="false"/>
          <w:smallCaps w:val="false"/>
          <w:sz w:val="20"/>
        </w:rPr>
        <w:t>January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issued 61,551, 43,670 and 43,378 common shares, respectively, to its independent trustees as compensation for services performed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The quantity of shares was calculated based on the average of the closing price for the Company’s common shares on the NYSE for the last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trading days preceding the reporting date. On </w:t>
      </w:r>
      <w:r>
        <w:rPr>
          <w:rStyle w:val="Emphasis"/>
          <w:rFonts w:ascii="Times New Roman" w:hAnsi="Times New Roman"/>
          <w:caps w:val="false"/>
          <w:smallCaps w:val="false"/>
          <w:sz w:val="20"/>
        </w:rPr>
        <w:t>January 15, 2026</w:t>
      </w:r>
      <w:r>
        <w:rPr>
          <w:rFonts w:ascii="Times New Roman" w:hAnsi="Times New Roman"/>
          <w:caps w:val="false"/>
          <w:smallCaps w:val="false"/>
          <w:sz w:val="20"/>
        </w:rPr>
        <w:t xml:space="preserve">, the Company distributed 61,699 common shares to its independent trustees for services performed in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65" w:type="dxa"/>
        <w:jc w:val="left"/>
        <w:tblInd w:w="0" w:type="dxa"/>
        <w:tblLayout w:type="fixed"/>
        <w:tblCellMar>
          <w:top w:w="0" w:type="dxa"/>
          <w:left w:w="0" w:type="dxa"/>
          <w:bottom w:w="0" w:type="dxa"/>
          <w:right w:w="0" w:type="dxa"/>
        </w:tblCellMar>
      </w:tblPr>
      <w:tblGrid>
        <w:gridCol w:w="275"/>
        <w:gridCol w:w="59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the lessee under ground, air rights, garage and office lease agreements for certain of its properties. The Company's leases are classified as operating or finance leases. The Company recognizes a ROU asset and lease liability at the estimated present value of the minimum lease payments over the lease term. The leases typically provide multi-year renewal options to extend term as lessee at the Company's option. Option periods are included in the calculation of the lease obligation liability only when options are reasonably certain to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calculating the Company's lease obligations under the various leases, the Company uses discount rates estimated to be equal to what the Company would have to pay to borrow on a collateralized basis over a similar term, for an amount equal to the lease payments, in a similar economic environment. Lease obligations are based on contractually required cash payments while lease expense is recognized on a straight-line basis for its operating leases and as interest expense on the lease liability for its finance lease.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Residence Inn San Diego Gaslamp hotel property is subject to a ground lease with an expiration of </w:t>
      </w:r>
      <w:r>
        <w:rPr>
          <w:rStyle w:val="Emphasis"/>
          <w:rFonts w:ascii="Times New Roman" w:hAnsi="Times New Roman"/>
          <w:caps w:val="false"/>
          <w:smallCaps w:val="false"/>
          <w:sz w:val="20"/>
        </w:rPr>
        <w:t>January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2065</w:t>
      </w:r>
      <w:r>
        <w:rPr>
          <w:rFonts w:ascii="Times New Roman" w:hAnsi="Times New Roman"/>
          <w:caps w:val="false"/>
          <w:smallCaps w:val="false"/>
          <w:sz w:val="20"/>
        </w:rPr>
        <w:t xml:space="preserve"> with an extension option by the Company of up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additional terms of ten years each. Monthly payments are currently $49 thousand per month and increase 10% every 5 years. The hotel is subject to supplemental rent payments annually calculated as 5% of gross revenues during the applicable lease year, minus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times the monthly base rent scheduled for the lease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Residence Inn New Rochelle hotel is subject to an air rights lease and garage lease that each expires on </w:t>
      </w:r>
      <w:r>
        <w:rPr>
          <w:rStyle w:val="Emphasis"/>
          <w:rFonts w:ascii="Times New Roman" w:hAnsi="Times New Roman"/>
          <w:caps w:val="false"/>
          <w:smallCaps w:val="false"/>
          <w:sz w:val="20"/>
        </w:rPr>
        <w:t>December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2104.</w:t>
      </w:r>
      <w:r>
        <w:rPr>
          <w:rFonts w:ascii="Times New Roman" w:hAnsi="Times New Roman"/>
          <w:caps w:val="false"/>
          <w:smallCaps w:val="false"/>
          <w:sz w:val="20"/>
        </w:rPr>
        <w:t xml:space="preserve"> The lease agreements with the City of New Rochelle cover the space above the parking garage that is occupied by the hotel as well as 128 parking spaces in a parking garage that is attached to the hotel. The annual base rent for the garage lease is the hotel’s proportionate share of the city’s adopted budget for the operations, management and maintenance of the garage and established reserves to fund the cost of capital repairs. Aggregate rent for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under these leases amounted to $31 thousand per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Hilton Garden Inn Marina del Rey hotel is subject to a ground lease with an expiration of </w:t>
      </w:r>
      <w:r>
        <w:rPr>
          <w:rStyle w:val="Emphasis"/>
          <w:rFonts w:ascii="Times New Roman" w:hAnsi="Times New Roman"/>
          <w:caps w:val="false"/>
          <w:smallCaps w:val="false"/>
          <w:sz w:val="20"/>
        </w:rPr>
        <w:t xml:space="preserve">December 31, 2067. </w:t>
      </w:r>
      <w:r>
        <w:rPr>
          <w:rFonts w:ascii="Times New Roman" w:hAnsi="Times New Roman"/>
          <w:caps w:val="false"/>
          <w:smallCaps w:val="false"/>
          <w:sz w:val="20"/>
        </w:rPr>
        <w:t>Minimum monthly payments are currently $47 thousand per month and a percentage rent payment less the minimum rent is due in arrears equal to 5% to 25% of gross income based on the type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entered into a corporate office lease in </w:t>
      </w:r>
      <w:r>
        <w:rPr>
          <w:rStyle w:val="Emphasis"/>
          <w:rFonts w:ascii="Times New Roman" w:hAnsi="Times New Roman"/>
          <w:caps w:val="false"/>
          <w:smallCaps w:val="false"/>
          <w:sz w:val="20"/>
        </w:rPr>
        <w:t xml:space="preserve">September 2015. </w:t>
      </w:r>
      <w:r>
        <w:rPr>
          <w:rFonts w:ascii="Times New Roman" w:hAnsi="Times New Roman"/>
          <w:caps w:val="false"/>
          <w:smallCaps w:val="false"/>
          <w:sz w:val="20"/>
        </w:rPr>
        <w:t xml:space="preserve">The lease is for a term of 11 years and includes a 12-month rent abatement period and certain tenant improvement allowances. The Company has a renewal option of up 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successive terms of 5 years each. On </w:t>
      </w:r>
      <w:r>
        <w:rPr>
          <w:rStyle w:val="Emphasis"/>
          <w:rFonts w:ascii="Times New Roman" w:hAnsi="Times New Roman"/>
          <w:caps w:val="false"/>
          <w:smallCaps w:val="false"/>
          <w:sz w:val="20"/>
        </w:rPr>
        <w:t xml:space="preserve">June 1, 2023, </w:t>
      </w:r>
      <w:r>
        <w:rPr>
          <w:rFonts w:ascii="Times New Roman" w:hAnsi="Times New Roman"/>
          <w:caps w:val="false"/>
          <w:smallCaps w:val="false"/>
          <w:sz w:val="20"/>
        </w:rPr>
        <w:t xml:space="preserve">the Company executed an amendment to the corporate office lease to vacate and surrender possession of 7,374 rentable square feet in exchange for an early termination payment of $0.1 million. The partial termination of this lease required the Company to apply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and remeasure the right of use asset and lease liability and recognize those adjustments in the consolidated statements of operations. During the year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the Company recognized a gain from partial lease termination of approximately $0.2 million as a result of this partial termination. The Company shares the space with a related party and is reimbursed for the pro-rata share of rentable space occupied by the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entered into a new 10-year corporate office lease in </w:t>
      </w:r>
      <w:r>
        <w:rPr>
          <w:rStyle w:val="Emphasis"/>
          <w:rFonts w:ascii="Times New Roman" w:hAnsi="Times New Roman"/>
          <w:caps w:val="false"/>
          <w:smallCaps w:val="false"/>
          <w:sz w:val="20"/>
        </w:rPr>
        <w:t xml:space="preserve">May 2024, </w:t>
      </w:r>
      <w:r>
        <w:rPr>
          <w:rFonts w:ascii="Times New Roman" w:hAnsi="Times New Roman"/>
          <w:caps w:val="false"/>
          <w:smallCaps w:val="false"/>
          <w:sz w:val="20"/>
        </w:rPr>
        <w:t xml:space="preserve">which was subsequently amended in </w:t>
      </w:r>
      <w:r>
        <w:rPr>
          <w:rStyle w:val="Emphasis"/>
          <w:rFonts w:ascii="Times New Roman" w:hAnsi="Times New Roman"/>
          <w:caps w:val="false"/>
          <w:smallCaps w:val="false"/>
          <w:sz w:val="20"/>
        </w:rPr>
        <w:t xml:space="preserve">September 2024, </w:t>
      </w:r>
      <w:r>
        <w:rPr>
          <w:rFonts w:ascii="Times New Roman" w:hAnsi="Times New Roman"/>
          <w:caps w:val="false"/>
          <w:smallCaps w:val="false"/>
          <w:sz w:val="20"/>
        </w:rPr>
        <w:t xml:space="preserve">that will commence when the Company takes possession of the space for leasehold improvements, on or before </w:t>
      </w:r>
      <w:r>
        <w:rPr>
          <w:rStyle w:val="Emphasis"/>
          <w:rFonts w:ascii="Times New Roman" w:hAnsi="Times New Roman"/>
          <w:caps w:val="false"/>
          <w:smallCaps w:val="false"/>
          <w:sz w:val="20"/>
        </w:rPr>
        <w:t xml:space="preserve">September 1, 2026. </w:t>
      </w:r>
      <w:r>
        <w:rPr>
          <w:rFonts w:ascii="Times New Roman" w:hAnsi="Times New Roman"/>
          <w:caps w:val="false"/>
          <w:smallCaps w:val="false"/>
          <w:sz w:val="20"/>
        </w:rPr>
        <w:t>Annual base rent will range from $0.6 million to $0.7 million over the term of the lease. The new office space will be shared with a related party and the Company will be reimbursed for the pro-rata share of rentable space that will be occupied by the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made $1.3 million of fixed lease payments and $0.7 million of variable lease payments related to hotel ground leases, which are included in property taxes, ground rent and insurance in our consolidated statements of operations.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 made $0.7 million of fixed lease payments related to its corporate office lease, which are included in general and administrative expense in our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Finance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Home2</w:t>
      </w:r>
      <w:r>
        <w:rPr>
          <w:rFonts w:ascii="Times New Roman" w:hAnsi="Times New Roman"/>
          <w:caps w:val="false"/>
          <w:smallCaps w:val="false"/>
          <w:sz w:val="20"/>
        </w:rPr>
        <w:t xml:space="preserve"> Phoenix hotel property is subject to a Government Property Lease Excise Tax ("GPLET") agreement with the City of Phoenix. As part of the agreement, title of the hotel property was conveyed to the City of Phoenix and leased back to the Company for a term of 8 years with fixed annual rent payments ranging from $26 thousand to $81 thousand. Title of the hotel property will be re-conveyed to the Company 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cost at the expiration of the 8-year lease term. The GPLET agreement can be terminated by the Company at any time for a fee of $0.1 million and title of the hotel property would be re-conveyed back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Home2</w:t>
      </w:r>
      <w:r>
        <w:rPr>
          <w:rFonts w:ascii="Times New Roman" w:hAnsi="Times New Roman"/>
          <w:caps w:val="false"/>
          <w:smallCaps w:val="false"/>
          <w:sz w:val="20"/>
        </w:rPr>
        <w:t xml:space="preserve"> Phoenix ROU assets are recorded as finance lease assets within Investment in hotel properties, net and the lease liability is recorded within Lease liability in the Company’s consolidated balance sheet. Expenses related to the finance lease are included in depreciation and amortization and interest expense, in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include information regarding the ROU assets and lease liabilities of the Company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2135"/>
        <w:gridCol w:w="2795"/>
        <w:gridCol w:w="60"/>
        <w:gridCol w:w="357"/>
        <w:gridCol w:w="1687"/>
        <w:gridCol w:w="60"/>
        <w:gridCol w:w="60"/>
        <w:gridCol w:w="357"/>
        <w:gridCol w:w="1687"/>
        <w:gridCol w:w="60"/>
      </w:tblGrid>
      <w:tr>
        <w:trPr/>
        <w:tc>
          <w:tcPr>
            <w:tcW w:w="2135" w:type="dxa"/>
            <w:tcBorders/>
            <w:shd w:fill="FFFFFF" w:val="clear"/>
            <w:vAlign w:val="center"/>
          </w:tcPr>
          <w:p>
            <w:pPr>
              <w:pStyle w:val="TableContents"/>
              <w:bidi w:val="0"/>
              <w:spacing w:before="0" w:after="283"/>
              <w:jc w:val="left"/>
              <w:rPr/>
            </w:pPr>
            <w:r>
              <w:rPr/>
              <w:t> </w:t>
            </w:r>
          </w:p>
        </w:tc>
        <w:tc>
          <w:tcPr>
            <w:tcW w:w="279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ROU Asset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ROU Asset</w:t>
            </w:r>
          </w:p>
        </w:tc>
        <w:tc>
          <w:tcPr>
            <w:tcW w:w="60" w:type="dxa"/>
            <w:tcBorders/>
            <w:shd w:fill="FFFF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ind w:left="0" w:right="0" w:hanging="0"/>
              <w:jc w:val="left"/>
              <w:rPr/>
            </w:pPr>
            <w:r>
              <w:rPr/>
              <w:t> </w:t>
            </w:r>
          </w:p>
        </w:tc>
        <w:tc>
          <w:tcPr>
            <w:tcW w:w="27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 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 net</w:t>
            </w:r>
          </w:p>
        </w:tc>
        <w:tc>
          <w:tcPr>
            <w:tcW w:w="279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Investment in hotel properties,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42,750</w:t>
            </w:r>
          </w:p>
        </w:tc>
        <w:tc>
          <w:tcPr>
            <w:tcW w:w="6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net</w:t>
            </w:r>
          </w:p>
        </w:tc>
        <w:tc>
          <w:tcPr>
            <w:tcW w:w="279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Right of use asset, net</w:t>
            </w:r>
          </w:p>
        </w:tc>
        <w:tc>
          <w:tcPr>
            <w:tcW w:w="60" w:type="dxa"/>
            <w:tcBorders/>
            <w:shd w:fill="FFFFFF" w:val="cle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ROU asset, net</w:t>
            </w:r>
          </w:p>
        </w:tc>
        <w:tc>
          <w:tcPr>
            <w:tcW w:w="279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57,855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60,297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8718" w:type="dxa"/>
        <w:jc w:val="left"/>
        <w:tblInd w:w="0" w:type="dxa"/>
        <w:tblLayout w:type="fixed"/>
        <w:tblCellMar>
          <w:top w:w="0" w:type="dxa"/>
          <w:left w:w="0" w:type="dxa"/>
          <w:bottom w:w="0" w:type="dxa"/>
          <w:right w:w="0" w:type="dxa"/>
        </w:tblCellMar>
      </w:tblPr>
      <w:tblGrid>
        <w:gridCol w:w="1985"/>
        <w:gridCol w:w="2405"/>
        <w:gridCol w:w="60"/>
        <w:gridCol w:w="355"/>
        <w:gridCol w:w="1689"/>
        <w:gridCol w:w="60"/>
        <w:gridCol w:w="60"/>
        <w:gridCol w:w="355"/>
        <w:gridCol w:w="1689"/>
        <w:gridCol w:w="60"/>
      </w:tblGrid>
      <w:tr>
        <w:trPr/>
        <w:tc>
          <w:tcPr>
            <w:tcW w:w="1985" w:type="dxa"/>
            <w:tcBorders/>
            <w:shd w:fill="FFFFFF" w:val="clear"/>
            <w:vAlign w:val="center"/>
          </w:tcPr>
          <w:p>
            <w:pPr>
              <w:pStyle w:val="TableContents"/>
              <w:bidi w:val="0"/>
              <w:spacing w:before="0" w:after="283"/>
              <w:jc w:val="left"/>
              <w:rPr/>
            </w:pPr>
            <w:r>
              <w:rPr/>
              <w:t> </w:t>
            </w:r>
          </w:p>
        </w:tc>
        <w:tc>
          <w:tcPr>
            <w:tcW w:w="240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ind w:left="0" w:right="0" w:hanging="0"/>
              <w:jc w:val="left"/>
              <w:rPr/>
            </w:pPr>
            <w:r>
              <w:rPr/>
              <w:t> </w:t>
            </w:r>
          </w:p>
        </w:tc>
        <w:tc>
          <w:tcPr>
            <w:tcW w:w="24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 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liability</w:t>
            </w:r>
          </w:p>
        </w:tc>
        <w:tc>
          <w:tcPr>
            <w:tcW w:w="240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Lease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w:t>
            </w:r>
          </w:p>
        </w:tc>
        <w:tc>
          <w:tcPr>
            <w:tcW w:w="240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lease liability</w:t>
            </w:r>
          </w:p>
        </w:tc>
        <w:tc>
          <w:tcPr>
            <w:tcW w:w="24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20,067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20,634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69" w:type="dxa"/>
        <w:jc w:val="left"/>
        <w:tblInd w:w="0" w:type="dxa"/>
        <w:tblLayout w:type="fixed"/>
        <w:tblCellMar>
          <w:top w:w="0" w:type="dxa"/>
          <w:left w:w="0" w:type="dxa"/>
          <w:bottom w:w="28" w:type="dxa"/>
          <w:right w:w="0" w:type="dxa"/>
        </w:tblCellMar>
      </w:tblPr>
      <w:tblGrid>
        <w:gridCol w:w="3815"/>
        <w:gridCol w:w="60"/>
        <w:gridCol w:w="177"/>
        <w:gridCol w:w="1432"/>
        <w:gridCol w:w="185"/>
      </w:tblGrid>
      <w:tr>
        <w:trPr/>
        <w:tc>
          <w:tcPr>
            <w:tcW w:w="381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 Term and Discount Rate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8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8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ind w:left="0" w:right="0" w:hanging="0"/>
              <w:jc w:val="left"/>
              <w:rPr/>
            </w:pPr>
            <w:r>
              <w:rPr/>
              <w:t> </w:t>
            </w:r>
          </w:p>
        </w:tc>
        <w:tc>
          <w:tcPr>
            <w:tcW w:w="14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38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ind w:left="0" w:right="0" w:hanging="0"/>
              <w:jc w:val="left"/>
              <w:rPr/>
            </w:pPr>
            <w:r>
              <w:rPr/>
              <w:t> </w:t>
            </w:r>
          </w:p>
        </w:tc>
        <w:tc>
          <w:tcPr>
            <w:tcW w:w="14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includes information regarding the Company's total minimum lease payments for which it is the lessee,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for each of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calendar years and thereafter (in thousands):</w:t>
      </w:r>
    </w:p>
    <w:p>
      <w:pPr>
        <w:pStyle w:val="TextBody"/>
        <w:bidi w:val="0"/>
        <w:spacing w:before="0" w:after="0"/>
        <w:ind w:left="0" w:right="0" w:hanging="0"/>
        <w:jc w:val="left"/>
        <w:rPr>
          <w:caps w:val="false"/>
          <w:smallCaps w:val="false"/>
        </w:rPr>
      </w:pPr>
      <w:r>
        <w:rPr>
          <w:caps w:val="false"/>
          <w:smallCaps w:val="false"/>
        </w:rPr>
        <w:t> </w:t>
      </w:r>
    </w:p>
    <w:tbl>
      <w:tblPr>
        <w:tblW w:w="3500" w:type="dxa"/>
        <w:jc w:val="left"/>
        <w:tblInd w:w="0" w:type="dxa"/>
        <w:tblLayout w:type="fixed"/>
        <w:tblCellMar>
          <w:top w:w="0" w:type="dxa"/>
          <w:left w:w="0" w:type="dxa"/>
          <w:bottom w:w="28" w:type="dxa"/>
          <w:right w:w="0" w:type="dxa"/>
        </w:tblCellMar>
      </w:tblPr>
      <w:tblGrid>
        <w:gridCol w:w="2585"/>
        <w:gridCol w:w="60"/>
        <w:gridCol w:w="125"/>
        <w:gridCol w:w="650"/>
        <w:gridCol w:w="80"/>
      </w:tblGrid>
      <w:tr>
        <w:trPr/>
        <w:tc>
          <w:tcPr>
            <w:tcW w:w="25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Future Lease Payments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59,765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66,929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(46,862</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20,067</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070" w:type="dxa"/>
        <w:jc w:val="left"/>
        <w:tblInd w:w="0" w:type="dxa"/>
        <w:tblLayout w:type="fixed"/>
        <w:tblCellMar>
          <w:top w:w="0" w:type="dxa"/>
          <w:left w:w="0" w:type="dxa"/>
          <w:bottom w:w="0" w:type="dxa"/>
          <w:right w:w="0" w:type="dxa"/>
        </w:tblCellMar>
      </w:tblPr>
      <w:tblGrid>
        <w:gridCol w:w="275"/>
        <w:gridCol w:w="27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p>
        </w:tc>
        <w:tc>
          <w:tcPr>
            <w:tcW w:w="27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is subject to various claims, lawsuits and legal proceedings, including routine litigation arising in the ordinary course of business, regarding the operation of its hotels, its managers and other Company matters. While it is </w:t>
      </w:r>
      <w:r>
        <w:rPr>
          <w:rStyle w:val="Emphasis"/>
          <w:rFonts w:ascii="Times New Roman" w:hAnsi="Times New Roman"/>
          <w:caps w:val="false"/>
          <w:smallCaps w:val="false"/>
          <w:sz w:val="20"/>
        </w:rPr>
        <w:t>not</w:t>
      </w:r>
      <w:r>
        <w:rPr>
          <w:rFonts w:ascii="Times New Roman" w:hAnsi="Times New Roman"/>
          <w:caps w:val="false"/>
          <w:smallCaps w:val="false"/>
          <w:sz w:val="20"/>
        </w:rPr>
        <w:t> possible to ascertain the ultimate outcome of such matters, the Company believes that the aggregate identifiable amount of such liabilities, if any, will </w:t>
      </w:r>
      <w:r>
        <w:rPr>
          <w:rStyle w:val="Emphasis"/>
          <w:rFonts w:ascii="Times New Roman" w:hAnsi="Times New Roman"/>
          <w:caps w:val="false"/>
          <w:smallCaps w:val="false"/>
          <w:sz w:val="20"/>
        </w:rPr>
        <w:t>not</w:t>
      </w:r>
      <w:r>
        <w:rPr>
          <w:rFonts w:ascii="Times New Roman" w:hAnsi="Times New Roman"/>
          <w:caps w:val="false"/>
          <w:smallCaps w:val="false"/>
          <w:sz w:val="20"/>
        </w:rPr>
        <w:t> have a material adverse impact on its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Management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management agreements with IHM have an initial term of five years and automatically renew for </w:t>
      </w:r>
      <w:r>
        <w:rPr>
          <w:rStyle w:val="Emphasis"/>
          <w:rFonts w:ascii="Times New Roman" w:hAnsi="Times New Roman"/>
          <w:caps w:val="false"/>
          <w:smallCaps w:val="false"/>
          <w:sz w:val="20"/>
        </w:rPr>
        <w:t>two five</w:t>
      </w:r>
      <w:r>
        <w:rPr>
          <w:rFonts w:ascii="Times New Roman" w:hAnsi="Times New Roman"/>
          <w:caps w:val="false"/>
          <w:smallCaps w:val="false"/>
          <w:sz w:val="20"/>
        </w:rPr>
        <w:t xml:space="preserve">-year periods unless IHM provides written notice to us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later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prior to the then current term's expiration date of their intent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renew. The IHM management agreements provide for early termination at the Company’s option upon sale of any IHM-managed hotel for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termination fee, with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advance notice. The IHM management agreements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terminated for cause, including the failure of the managed hotel to meet specified performance levels. Base management fees are calculated as a percentage of the hotel's gross room revenue. If certain financial thresholds are met or exceeded, an incentive management fee is calculated as 10% of the hotel's net operating income less fixed costs, base management fees and a specified return threshold. The incentive management fee is capped at 1% of gross hotel revenues for the applicable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Management fees totaled approximately $9.9 million, $10.7 million and $10.6 million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Incentive management fees paid to IHM for the years ended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were $0.1 million, $0.2 million and $0.2 million,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certain key terms of the Company's management agreements are (dollars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thousands):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75"/>
        <w:gridCol w:w="60"/>
        <w:gridCol w:w="1115"/>
        <w:gridCol w:w="60"/>
        <w:gridCol w:w="199"/>
        <w:gridCol w:w="916"/>
        <w:gridCol w:w="185"/>
        <w:gridCol w:w="60"/>
        <w:gridCol w:w="200"/>
        <w:gridCol w:w="780"/>
        <w:gridCol w:w="60"/>
        <w:gridCol w:w="60"/>
        <w:gridCol w:w="227"/>
        <w:gridCol w:w="888"/>
        <w:gridCol w:w="60"/>
        <w:gridCol w:w="60"/>
        <w:gridCol w:w="198"/>
        <w:gridCol w:w="917"/>
        <w:gridCol w:w="185"/>
      </w:tblGrid>
      <w:tr>
        <w:trPr/>
        <w:tc>
          <w:tcPr>
            <w:tcW w:w="3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Monthly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3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Base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Monthly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Incentive</w:t>
            </w:r>
          </w:p>
        </w:tc>
        <w:tc>
          <w:tcPr>
            <w:tcW w:w="185" w:type="dxa"/>
            <w:tcBorders/>
            <w:shd w:fill="FFFFFF" w:val="clear"/>
            <w:vAlign w:val="center"/>
          </w:tcPr>
          <w:p>
            <w:pPr>
              <w:pStyle w:val="TableContents"/>
              <w:bidi w:val="0"/>
              <w:spacing w:before="0" w:after="283"/>
              <w:jc w:val="left"/>
              <w:rPr/>
            </w:pPr>
            <w:r>
              <w:rPr/>
              <w:t> </w:t>
            </w:r>
          </w:p>
        </w:tc>
      </w:tr>
      <w:tr>
        <w:trPr/>
        <w:tc>
          <w:tcPr>
            <w:tcW w:w="397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Management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Management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Accounting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Management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Management</w:t>
            </w:r>
          </w:p>
        </w:tc>
        <w:tc>
          <w:tcPr>
            <w:tcW w:w="185" w:type="dxa"/>
            <w:tcBorders/>
            <w:shd w:fill="FFFFFF" w:val="clear"/>
            <w:vAlign w:val="center"/>
          </w:tcPr>
          <w:p>
            <w:pPr>
              <w:pStyle w:val="TableContents"/>
              <w:bidi w:val="0"/>
              <w:spacing w:before="0" w:after="283"/>
              <w:jc w:val="left"/>
              <w:rPr/>
            </w:pPr>
            <w:r>
              <w:rPr/>
              <w:t> </w:t>
            </w:r>
          </w:p>
        </w:tc>
      </w:tr>
      <w:tr>
        <w:trPr/>
        <w:tc>
          <w:tcPr>
            <w:tcW w:w="39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Company</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Fee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Fee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Fee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Fee Cap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Homewood Suites by Hilton Hartford-Farmington</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Long Island Holtsville</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White Plains</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New Rochelle</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Garden Grove</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Homewood Suites by Hilton San Antonio River Walk</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Washington DC</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Tysons Corner</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 Portland Downtown</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Place Pittsburgh North Shore</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 Exeter</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Bellevue</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SpringHill Suites Savannah</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Silicon Valley I</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Silicon Valley II</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San Mateo</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Mountain View</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Place Cherry Creek</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Addison</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San Diego Gaslamp</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Marina del Rey</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Dedham</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Il Lugano</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Portsmouth</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Summerville</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Embassy Suites Springfield</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Summerville</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Dallas</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Austin Northwest/The Domain Area</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TownePlace Suites Austin Northwest/The Domain Area</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Home2 Suites Woodland Hills</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Destin Miramar Beach</w:t>
            </w:r>
          </w:p>
        </w:tc>
        <w:tc>
          <w:tcPr>
            <w:tcW w:w="60" w:type="dxa"/>
            <w:tcBorders/>
            <w:shd w:fill="FFFFFF" w:val="clear"/>
            <w:vAlign w:val="center"/>
          </w:tcPr>
          <w:p>
            <w:pPr>
              <w:pStyle w:val="TableContents"/>
              <w:bidi w:val="0"/>
              <w:spacing w:before="0" w:after="283"/>
              <w:ind w:left="0" w:right="0" w:hanging="0"/>
              <w:jc w:val="center"/>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Home2 Suites Phoenix Downtown</w:t>
            </w:r>
          </w:p>
        </w:tc>
        <w:tc>
          <w:tcPr>
            <w:tcW w:w="60" w:type="dxa"/>
            <w:tcBorders/>
            <w:shd w:fill="CCEEFF" w:val="clear"/>
            <w:vAlign w:val="center"/>
          </w:tcPr>
          <w:p>
            <w:pPr>
              <w:pStyle w:val="TableContents"/>
              <w:bidi w:val="0"/>
              <w:spacing w:before="0" w:after="283"/>
              <w:ind w:left="0" w:right="0" w:hanging="0"/>
              <w:jc w:val="center"/>
              <w:rPr/>
            </w:pPr>
            <w:r>
              <w:rPr/>
              <w:t> </w:t>
            </w:r>
          </w:p>
        </w:tc>
        <w:tc>
          <w:tcPr>
            <w:tcW w:w="111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IHM</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Franchise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fees associated with the franchise agreements are calculated as a specified percentage of the hotel's gross room revenue. Franchise and marketing/program fees totaled approximately $23.6 million, $25.4 million and $24.9 million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 The initial terms of the agreements range from 10 to 30 years with the weighted-average expiration being </w:t>
      </w:r>
      <w:r>
        <w:rPr>
          <w:rStyle w:val="Emphasis"/>
          <w:rFonts w:ascii="Times New Roman" w:hAnsi="Times New Roman"/>
          <w:caps w:val="false"/>
          <w:smallCaps w:val="false"/>
          <w:sz w:val="20"/>
        </w:rPr>
        <w:t xml:space="preserve"> September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certain key terms of the Company's franchise agreements are:</w:t>
      </w:r>
    </w:p>
    <w:p>
      <w:pPr>
        <w:pStyle w:val="TextBody"/>
        <w:bidi w:val="0"/>
        <w:spacing w:before="0" w:after="0"/>
        <w:ind w:left="0" w:right="0" w:hanging="0"/>
        <w:jc w:val="left"/>
        <w:rPr>
          <w:caps w:val="false"/>
          <w:smallCaps w:val="false"/>
        </w:rPr>
      </w:pPr>
      <w:r>
        <w:rPr>
          <w:caps w:val="false"/>
          <w:smallCaps w:val="false"/>
        </w:rPr>
        <w:t> </w:t>
      </w:r>
    </w:p>
    <w:tbl>
      <w:tblPr>
        <w:tblW w:w="8173" w:type="dxa"/>
        <w:jc w:val="left"/>
        <w:tblInd w:w="0" w:type="dxa"/>
        <w:tblLayout w:type="fixed"/>
        <w:tblCellMar>
          <w:top w:w="0" w:type="dxa"/>
          <w:left w:w="0" w:type="dxa"/>
          <w:bottom w:w="0" w:type="dxa"/>
          <w:right w:w="0" w:type="dxa"/>
        </w:tblCellMar>
      </w:tblPr>
      <w:tblGrid>
        <w:gridCol w:w="4490"/>
        <w:gridCol w:w="60"/>
        <w:gridCol w:w="182"/>
        <w:gridCol w:w="842"/>
        <w:gridCol w:w="185"/>
        <w:gridCol w:w="60"/>
        <w:gridCol w:w="198"/>
        <w:gridCol w:w="916"/>
        <w:gridCol w:w="185"/>
        <w:gridCol w:w="60"/>
        <w:gridCol w:w="112"/>
        <w:gridCol w:w="823"/>
        <w:gridCol w:w="60"/>
      </w:tblGrid>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Franchise/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Marketing/</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Royalty Fee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Program Fee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Expiration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Homewood Suites by Hilton Hartford-Farmington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2039</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Long Island Holtsville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White Plains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New Rochelle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Garden Grove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2031</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Homewood Suites by Hilton San Antonio River Walk</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2041</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Washington DC</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2033</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Tysons Corner</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2031</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 Portland Downtown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2032</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Place Pittsburgh North Shore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Hampton Inn Exeter</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2031</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Bellevue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2033</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SpringHill Suites Savannah</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2033</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Silicon Valley I</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Silicon Valley II</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San Mateo</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Mountain View</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Hyatt Place Cherry Creek</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2034</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Addison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San Diego Gaslamp</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2035</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Marina del Rey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Dedham</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Il Lugano</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2045</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Portsmouth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2037</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Summerville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2037</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Embassy Suites Springfield</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2037</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Summerville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2038</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Courtyard Dallas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2038</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Residence Inn Austin Northwest/The Domain Area</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2036</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TownePlace Suites Austin Northwest/The Domain Area</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2041</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Home2 Suites Woodland Hills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2040</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Hilton Garden Inn Destin Miramar Beach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2042</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Home2 Suites Phoenix Downtown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2044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620" w:type="dxa"/>
        <w:jc w:val="left"/>
        <w:tblInd w:w="0" w:type="dxa"/>
        <w:tblLayout w:type="fixed"/>
        <w:tblCellMar>
          <w:top w:w="0" w:type="dxa"/>
          <w:left w:w="0" w:type="dxa"/>
          <w:bottom w:w="0" w:type="dxa"/>
          <w:right w:w="0" w:type="dxa"/>
        </w:tblCellMar>
      </w:tblPr>
      <w:tblGrid>
        <w:gridCol w:w="275"/>
        <w:gridCol w:w="234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14.</w:t>
            </w:r>
          </w:p>
        </w:tc>
        <w:tc>
          <w:tcPr>
            <w:tcW w:w="23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Mr. Fisher owns 100% of IHM.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had hotel management agreements with IHM to manage all </w:t>
      </w:r>
      <w:r>
        <w:rPr>
          <w:rStyle w:val="Emphasis"/>
          <w:rFonts w:ascii="Times New Roman" w:hAnsi="Times New Roman"/>
          <w:caps w:val="false"/>
          <w:smallCaps w:val="false"/>
          <w:sz w:val="20"/>
        </w:rPr>
        <w:t>33</w:t>
      </w:r>
      <w:r>
        <w:rPr>
          <w:rFonts w:ascii="Times New Roman" w:hAnsi="Times New Roman"/>
          <w:caps w:val="false"/>
          <w:smallCaps w:val="false"/>
          <w:sz w:val="20"/>
        </w:rPr>
        <w:t xml:space="preserve"> of its hotels. Hotel management, revenue management and accounting fees accrued or paid to IHM for the hotels owned by the Company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were $9.9 million, $10.7 million and $10.6 million, respectively.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amounts due to IHM were $0.2 million and $0.5 million, respectively. Incentive management fees paid to IHM by the Company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were $0.1 million, $0.2 million and $0.2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Cost reimbursements from related parties revenue represent reimbursements of costs incurred on behalf of IHM. These costs relate primarily to office expenses shared with IHM. Various shared office expenses and rent are paid by the Company and allocated to IHM based on the amount of square footage occupied by each entity. As the Company records cost reimbursements based upon costs incurred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added markup, the revenue and related expense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Company’s operating income or net income. Cost reimbursements are recorded based upon the occurrence of a reimbursed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15.</w:t>
            </w:r>
          </w:p>
        </w:tc>
        <w:tc>
          <w:tcPr>
            <w:tcW w:w="18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evaluates the Company's hotels as a single reportable segment as a result of aggregating multiple operating segments, because all of the Company's hotels have similar economic characteristics and provide similar services to similar types of customers. Our single reportable segment comprises the structure used by our Chief Executive Officer, Chief Operating Officer, and Chief Financial Officer, who collectively have been determined to be our Chief Operating Decision Maker ("CODM"), to make key operating decisions and assess performance. Our CODM evaluates our single reportable segment's operating performance based on individual hotel property net income (loss) before interest expense, income tax expense, depreciation and amortization, corporate general and administrative expense, impairment loss, loss on early extinguishment of debt, other charges, interest and other income, and gains or losses on sales of hotel properties ("Adjusted Hotel EBITDA"). Our single reportable segment's assets are consistent with total assets included in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includes revenue, significant hotel operating expenses, and Adjusted Hotel EBITDA for the Company’s hotels, reconciled to Net income (in thousands):</w:t>
      </w:r>
    </w:p>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0" w:type="dxa"/>
          <w:left w:w="0" w:type="dxa"/>
          <w:bottom w:w="0" w:type="dxa"/>
          <w:right w:w="0" w:type="dxa"/>
        </w:tblCellMar>
      </w:tblPr>
      <w:tblGrid>
        <w:gridCol w:w="4760"/>
        <w:gridCol w:w="60"/>
        <w:gridCol w:w="125"/>
        <w:gridCol w:w="695"/>
        <w:gridCol w:w="80"/>
        <w:gridCol w:w="60"/>
        <w:gridCol w:w="125"/>
        <w:gridCol w:w="695"/>
        <w:gridCol w:w="80"/>
        <w:gridCol w:w="60"/>
        <w:gridCol w:w="125"/>
        <w:gridCol w:w="695"/>
        <w:gridCol w:w="95"/>
      </w:tblGrid>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284,999</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8,124</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16,703</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hotel property level revenue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309,826</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61,794</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and beverage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6,352</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hotel operating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3,712</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28,884</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and marketing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24,897</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Advertising and promotions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6,085</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13,007</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Repairs and maintenance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15,837</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fees paid to related parties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10,557</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2,822</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taxes, ground rent and insurance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23,507</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hotel property level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198,893</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Hotel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110,933</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Reconciliation of Adjusted Hotel EBITDA to 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deferred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(58,254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early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hotel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partial lease termination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difference between total hotel property level revenue and total revenue on the consolidated statements of operations is due to reimbursable costs from related parties of $1.1 million, $1.1 million, and $1.3 million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16.</w:t>
            </w:r>
          </w:p>
        </w:tc>
        <w:tc>
          <w:tcPr>
            <w:tcW w:w="15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January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the Company repurchased 517,254 common shares at a weighted-average price per share of $6.99 under its Share Repurchase Program for an aggregate purchase price of approximately $3.6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5" w:name="schedule"/>
      <w:bookmarkEnd w:id="35"/>
      <w:r>
        <w:rPr>
          <w:rFonts w:ascii="Times New Roman" w:hAnsi="Times New Roman"/>
          <w:b/>
          <w:caps w:val="false"/>
          <w:smallCaps w:val="false"/>
          <w:sz w:val="20"/>
        </w:rPr>
        <w:t>CHATHAM LODGING TRUST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III - REAL ESTATE AND ACCUMULATED DEPRECIATION</w:t>
      </w:r>
    </w:p>
    <w:p>
      <w:pPr>
        <w:pStyle w:val="TextBody"/>
        <w:bidi w:val="0"/>
        <w:spacing w:before="0" w:after="0"/>
        <w:ind w:left="0" w:right="0" w:hanging="0"/>
        <w:jc w:val="center"/>
        <w:rPr/>
      </w:pPr>
      <w:r>
        <w:rPr>
          <w:rStyle w:val="Emphasis"/>
          <w:rFonts w:ascii="Times New Roman" w:hAnsi="Times New Roman"/>
          <w:b/>
          <w:caps w:val="false"/>
          <w:smallCaps w:val="false"/>
          <w:sz w:val="20"/>
        </w:rPr>
        <w:t>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1650" w:type="dxa"/>
        <w:jc w:val="left"/>
        <w:tblInd w:w="0" w:type="dxa"/>
        <w:tblLayout w:type="fixed"/>
        <w:tblCellMar>
          <w:top w:w="0" w:type="dxa"/>
          <w:left w:w="0" w:type="dxa"/>
          <w:bottom w:w="0" w:type="dxa"/>
          <w:right w:w="0" w:type="dxa"/>
        </w:tblCellMar>
      </w:tblPr>
      <w:tblGrid>
        <w:gridCol w:w="875"/>
        <w:gridCol w:w="60"/>
        <w:gridCol w:w="710"/>
        <w:gridCol w:w="60"/>
        <w:gridCol w:w="110"/>
        <w:gridCol w:w="780"/>
        <w:gridCol w:w="60"/>
        <w:gridCol w:w="60"/>
        <w:gridCol w:w="60"/>
        <w:gridCol w:w="425"/>
        <w:gridCol w:w="60"/>
        <w:gridCol w:w="60"/>
        <w:gridCol w:w="105"/>
        <w:gridCol w:w="755"/>
        <w:gridCol w:w="60"/>
        <w:gridCol w:w="60"/>
        <w:gridCol w:w="60"/>
        <w:gridCol w:w="260"/>
        <w:gridCol w:w="60"/>
        <w:gridCol w:w="60"/>
        <w:gridCol w:w="111"/>
        <w:gridCol w:w="749"/>
        <w:gridCol w:w="60"/>
        <w:gridCol w:w="60"/>
        <w:gridCol w:w="60"/>
        <w:gridCol w:w="425"/>
        <w:gridCol w:w="60"/>
        <w:gridCol w:w="60"/>
        <w:gridCol w:w="105"/>
        <w:gridCol w:w="755"/>
        <w:gridCol w:w="60"/>
        <w:gridCol w:w="60"/>
        <w:gridCol w:w="60"/>
        <w:gridCol w:w="500"/>
        <w:gridCol w:w="60"/>
        <w:gridCol w:w="60"/>
        <w:gridCol w:w="105"/>
        <w:gridCol w:w="755"/>
        <w:gridCol w:w="60"/>
        <w:gridCol w:w="60"/>
        <w:gridCol w:w="97"/>
        <w:gridCol w:w="688"/>
        <w:gridCol w:w="60"/>
        <w:gridCol w:w="60"/>
        <w:gridCol w:w="153"/>
        <w:gridCol w:w="647"/>
        <w:gridCol w:w="60"/>
        <w:gridCol w:w="60"/>
        <w:gridCol w:w="235"/>
        <w:gridCol w:w="550"/>
        <w:gridCol w:w="75"/>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Initial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Gross Amount at End of Year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Cost Cap. Sub.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Year of</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Buildings &amp;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Cost Cap. Sub.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To Acq. Bldg &amp;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Buildings &amp;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Buildings &amp;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Year of Original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Depreciation</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4"/>
              </w:rPr>
            </w:pPr>
            <w:r>
              <w:rPr>
                <w:rFonts w:ascii="Times New Roman;Times;serif" w:hAnsi="Times New Roman;Times;serif"/>
                <w:b/>
                <w:caps w:val="false"/>
                <w:smallCaps w:val="false"/>
                <w:sz w:val="14"/>
              </w:rPr>
              <w:t>Description</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Acquisition</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Encumbrances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Land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Improvements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To Acq. Land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Improvements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Land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Improvements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Improvements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Depreciation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Construction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Life</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Homewood Suites Hartford - Farmington, CT</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2010</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1999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Holtsville - Holtsville, NY</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2010</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White Plains - White Plains, NY</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2010</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1982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New Rochelle - New Rochelle, NY</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2010</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Garden Grove - Garden Grove, CA</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Homewood Suites San Antonio - San Antonio, TX</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2011</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24,764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1996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Washington DC - Washington, DC</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1974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Tyson's Corner - Vienna, VA</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2011</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Hampton Inn Portland Downtown - Portland, ME</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2012</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Hyatt Place Pittsburgh - Pittsburgh, PA</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2013</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rFonts w:ascii="Times New Roman;Times;serif" w:hAnsi="Times New Roman;Times;serif"/>
                <w:sz w:val="14"/>
              </w:rPr>
            </w:pPr>
            <w:r>
              <w:rPr>
                <w:rFonts w:ascii="Times New Roman;Times;serif" w:hAnsi="Times New Roman;Times;serif"/>
                <w:sz w:val="14"/>
              </w:rPr>
              <w:t>23,300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Hampton Inn &amp; Suites Exeter - Exeter, NH</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2013</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rFonts w:ascii="Times New Roman;Times;serif" w:hAnsi="Times New Roman;Times;serif"/>
                <w:sz w:val="14"/>
              </w:rPr>
            </w:pPr>
            <w:r>
              <w:rPr>
                <w:rFonts w:ascii="Times New Roman;Times;serif" w:hAnsi="Times New Roman;Times;serif"/>
                <w:sz w:val="14"/>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Bellevue - Bellevue, WA</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2013</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77,424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SpringHill Suites Savannah - Savannah, GA</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2013</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rFonts w:ascii="Times New Roman;Times;serif" w:hAnsi="Times New Roman;Times;serif"/>
                <w:sz w:val="14"/>
              </w:rPr>
            </w:pPr>
            <w:r>
              <w:rPr>
                <w:rFonts w:ascii="Times New Roman;Times;serif" w:hAnsi="Times New Roman;Times;serif"/>
                <w:sz w:val="14"/>
              </w:rPr>
              <w:t>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39,817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Silicon Valley I - Sunnyvale, CA</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95,343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1983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Silicon Valley II - Sunnyvale, CA</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58,412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104,942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58,412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1985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San Mateo - San Mateo, CA</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38,543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75,664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1985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Mt. View - Mountain View, CA</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64,693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1985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Hyatt Place Cherry Creek - Cherry Creek, CO</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1987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Courtyard Addison - Dallas, TX</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Gaslamp - San Diego, CA</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89,040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91,239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91,249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91,239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Hilton Garden Inn - Marina del Rey, CA</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 Dedham, MA</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1998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 Ft. Lauderdale, FL</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Home2 Suites - Woodland Hills, CA</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2017</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56,732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Hilton Garden Inn - Portsmouth, NH</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2017</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Courtyard - Summerville, SC</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2017</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rFonts w:ascii="Times New Roman;Times;serif" w:hAnsi="Times New Roman;Times;serif"/>
                <w:sz w:val="14"/>
              </w:rPr>
            </w:pPr>
            <w:r>
              <w:rPr>
                <w:rFonts w:ascii="Times New Roman;Times;serif" w:hAnsi="Times New Roman;Times;serif"/>
                <w:sz w:val="14"/>
              </w:rPr>
              <w:t>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Embassy Suites - Springfield, VA</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2017</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58,807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61,472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69,172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61,472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continued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2015" w:type="dxa"/>
        <w:jc w:val="left"/>
        <w:tblInd w:w="0" w:type="dxa"/>
        <w:tblLayout w:type="fixed"/>
        <w:tblCellMar>
          <w:top w:w="0" w:type="dxa"/>
          <w:left w:w="0" w:type="dxa"/>
          <w:bottom w:w="0" w:type="dxa"/>
          <w:right w:w="0" w:type="dxa"/>
        </w:tblCellMar>
      </w:tblPr>
      <w:tblGrid>
        <w:gridCol w:w="860"/>
        <w:gridCol w:w="60"/>
        <w:gridCol w:w="710"/>
        <w:gridCol w:w="60"/>
        <w:gridCol w:w="110"/>
        <w:gridCol w:w="780"/>
        <w:gridCol w:w="60"/>
        <w:gridCol w:w="60"/>
        <w:gridCol w:w="95"/>
        <w:gridCol w:w="500"/>
        <w:gridCol w:w="60"/>
        <w:gridCol w:w="60"/>
        <w:gridCol w:w="136"/>
        <w:gridCol w:w="724"/>
        <w:gridCol w:w="60"/>
        <w:gridCol w:w="60"/>
        <w:gridCol w:w="95"/>
        <w:gridCol w:w="260"/>
        <w:gridCol w:w="60"/>
        <w:gridCol w:w="60"/>
        <w:gridCol w:w="143"/>
        <w:gridCol w:w="717"/>
        <w:gridCol w:w="60"/>
        <w:gridCol w:w="60"/>
        <w:gridCol w:w="95"/>
        <w:gridCol w:w="500"/>
        <w:gridCol w:w="60"/>
        <w:gridCol w:w="60"/>
        <w:gridCol w:w="116"/>
        <w:gridCol w:w="744"/>
        <w:gridCol w:w="60"/>
        <w:gridCol w:w="60"/>
        <w:gridCol w:w="95"/>
        <w:gridCol w:w="605"/>
        <w:gridCol w:w="60"/>
        <w:gridCol w:w="60"/>
        <w:gridCol w:w="116"/>
        <w:gridCol w:w="744"/>
        <w:gridCol w:w="60"/>
        <w:gridCol w:w="60"/>
        <w:gridCol w:w="125"/>
        <w:gridCol w:w="660"/>
        <w:gridCol w:w="60"/>
        <w:gridCol w:w="60"/>
        <w:gridCol w:w="153"/>
        <w:gridCol w:w="647"/>
        <w:gridCol w:w="60"/>
        <w:gridCol w:w="60"/>
        <w:gridCol w:w="235"/>
        <w:gridCol w:w="550"/>
        <w:gridCol w:w="60"/>
      </w:tblGrid>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Initial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Gross Amount at End of Year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Cost Cap. Sub.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Year of</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Buildings &amp;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Cost Cap. Sub.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To Acq. Bldg &amp;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Buildings &amp;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Buildings &amp;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Year of Original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Depreciation</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Description</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Acquisition</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Encumbrances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Land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Improvements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To Acq. Land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Improvements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Land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Improvements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Improvements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Depreciation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Construction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Life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 Summerville, SC</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2018</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rFonts w:ascii="Times New Roman;Times;serif" w:hAnsi="Times New Roman;Times;serif"/>
                <w:sz w:val="14"/>
              </w:rPr>
            </w:pPr>
            <w:r>
              <w:rPr>
                <w:rFonts w:ascii="Times New Roman;Times;serif" w:hAnsi="Times New Roman;Times;serif"/>
                <w:sz w:val="14"/>
              </w:rPr>
              <w:t>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60"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Courtyard Dallas Downtown - Dallas, TX</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2018</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rFonts w:ascii="Times New Roman;Times;serif" w:hAnsi="Times New Roman;Times;serif"/>
                <w:sz w:val="14"/>
              </w:rPr>
            </w:pPr>
            <w:r>
              <w:rPr>
                <w:rFonts w:ascii="Times New Roman;Times;serif" w:hAnsi="Times New Roman;Times;serif"/>
                <w:sz w:val="14"/>
              </w:rPr>
              <w:t>24,500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45,927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43,027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Silicon Valley III - Sunnyvale, CA</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2018</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Residence Inn Austin Northwest/The Domain Area - Austin, TX</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2021</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rFonts w:ascii="Times New Roman;Times;serif" w:hAnsi="Times New Roman;Times;serif"/>
                <w:sz w:val="14"/>
              </w:rPr>
            </w:pPr>
            <w:r>
              <w:rPr>
                <w:rFonts w:ascii="Times New Roman;Times;serif" w:hAnsi="Times New Roman;Times;serif"/>
                <w:sz w:val="14"/>
              </w:rPr>
              <w:t>20,850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36,095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TownePlace Suites Austin Northwest/The Domain Area - Austin, TX</w:t>
            </w:r>
          </w:p>
        </w:tc>
        <w:tc>
          <w:tcPr>
            <w:tcW w:w="60" w:type="dxa"/>
            <w:tcBorders/>
            <w:shd w:fill="CCEEFF" w:val="clear"/>
            <w:vAlign w:val="center"/>
          </w:tcPr>
          <w:p>
            <w:pPr>
              <w:pStyle w:val="TableContents"/>
              <w:bidi w:val="0"/>
              <w:spacing w:before="0" w:after="283"/>
              <w:ind w:left="0" w:right="0" w:hanging="0"/>
              <w:jc w:val="center"/>
              <w:rPr/>
            </w:pPr>
            <w:r>
              <w:rPr/>
              <w:t> </w:t>
            </w:r>
          </w:p>
        </w:tc>
        <w:tc>
          <w:tcPr>
            <w:tcW w:w="71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2021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center"/>
              <w:rPr>
                <w:rFonts w:ascii="Times New Roman;Times;serif" w:hAnsi="Times New Roman;Times;serif"/>
                <w:sz w:val="14"/>
              </w:rPr>
            </w:pPr>
            <w:r>
              <w:rPr>
                <w:rFonts w:ascii="Times New Roman;Times;serif" w:hAnsi="Times New Roman;Times;serif"/>
                <w:sz w:val="14"/>
              </w:rPr>
              <w:t>19,075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60"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Hilton Garden Inn Destin - Miramar Beach, FL</w:t>
            </w:r>
          </w:p>
        </w:tc>
        <w:tc>
          <w:tcPr>
            <w:tcW w:w="60" w:type="dxa"/>
            <w:tcBorders/>
            <w:shd w:fill="FFFFFF" w:val="clear"/>
            <w:vAlign w:val="center"/>
          </w:tcPr>
          <w:p>
            <w:pPr>
              <w:pStyle w:val="TableContents"/>
              <w:bidi w:val="0"/>
              <w:spacing w:before="0" w:after="283"/>
              <w:ind w:left="0" w:right="0" w:hanging="0"/>
              <w:jc w:val="center"/>
              <w:rPr/>
            </w:pPr>
            <w:r>
              <w:rPr/>
              <w:t> </w:t>
            </w:r>
          </w:p>
        </w:tc>
        <w:tc>
          <w:tcPr>
            <w:tcW w:w="7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4"/>
              </w:rPr>
              <w:t>2022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29,679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0"/>
              <w:ind w:left="0" w:right="0" w:hanging="0"/>
              <w:jc w:val="right"/>
              <w:rPr/>
            </w:pPr>
            <w:r>
              <w:rPr>
                <w:rStyle w:val="Emphasis"/>
                <w:rFonts w:ascii="Times New Roman;Times;serif" w:hAnsi="Times New Roman;Times;serif"/>
                <w:sz w:val="14"/>
              </w:rPr>
              <w:t>(1)</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630" w:type="dxa"/>
            <w:gridSpan w:val="3"/>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14"/>
              </w:rPr>
              <w:t>Grand Total(s)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267,784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982,889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191,032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268,546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1,173,921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1,442,467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1,173,921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415,674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380" w:type="dxa"/>
        <w:jc w:val="left"/>
        <w:tblInd w:w="0" w:type="dxa"/>
        <w:tblLayout w:type="fixed"/>
        <w:tblCellMar>
          <w:top w:w="0" w:type="dxa"/>
          <w:left w:w="0" w:type="dxa"/>
          <w:bottom w:w="0" w:type="dxa"/>
          <w:right w:w="0" w:type="dxa"/>
        </w:tblCellMar>
      </w:tblPr>
      <w:tblGrid>
        <w:gridCol w:w="6380"/>
      </w:tblGrid>
      <w:tr>
        <w:trPr/>
        <w:tc>
          <w:tcPr>
            <w:tcW w:w="6380" w:type="dxa"/>
            <w:tcBorders/>
            <w:vAlign w:val="center"/>
          </w:tcPr>
          <w:p>
            <w:pPr>
              <w:pStyle w:val="TableContents"/>
              <w:bidi w:val="0"/>
              <w:spacing w:before="0" w:after="283"/>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Depreciation is computed based upon the following estimated useful lives:</w:t>
            </w:r>
          </w:p>
        </w:tc>
      </w:tr>
    </w:tbl>
    <w:p>
      <w:pPr>
        <w:pStyle w:val="TextBody"/>
        <w:bidi w:val="0"/>
        <w:spacing w:before="0" w:after="0"/>
        <w:ind w:left="0" w:right="0" w:hanging="0"/>
        <w:jc w:val="left"/>
        <w:rPr/>
      </w:pPr>
      <w:r>
        <w:rPr/>
        <w:t> </w:t>
      </w:r>
    </w:p>
    <w:tbl>
      <w:tblPr>
        <w:tblW w:w="2590" w:type="dxa"/>
        <w:jc w:val="left"/>
        <w:tblInd w:w="0" w:type="dxa"/>
        <w:tblLayout w:type="fixed"/>
        <w:tblCellMar>
          <w:top w:w="0" w:type="dxa"/>
          <w:left w:w="0" w:type="dxa"/>
          <w:bottom w:w="0" w:type="dxa"/>
          <w:right w:w="0" w:type="dxa"/>
        </w:tblCellMar>
      </w:tblPr>
      <w:tblGrid>
        <w:gridCol w:w="1955"/>
        <w:gridCol w:w="60"/>
        <w:gridCol w:w="515"/>
        <w:gridCol w:w="60"/>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w:t>
            </w:r>
          </w:p>
        </w:tc>
        <w:tc>
          <w:tcPr>
            <w:tcW w:w="60"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w:t>
            </w:r>
          </w:p>
        </w:tc>
        <w:tc>
          <w:tcPr>
            <w:tcW w:w="6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improvements</w:t>
            </w:r>
          </w:p>
        </w:tc>
        <w:tc>
          <w:tcPr>
            <w:tcW w:w="60"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w:t>
            </w:r>
          </w:p>
        </w:tc>
        <w:tc>
          <w:tcPr>
            <w:tcW w:w="6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 improvements</w:t>
            </w:r>
          </w:p>
        </w:tc>
        <w:tc>
          <w:tcPr>
            <w:tcW w:w="60"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5 - 20</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continued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6425" w:type="dxa"/>
        <w:jc w:val="left"/>
        <w:tblInd w:w="0" w:type="dxa"/>
        <w:tblLayout w:type="fixed"/>
        <w:tblCellMar>
          <w:top w:w="0" w:type="dxa"/>
          <w:left w:w="0" w:type="dxa"/>
          <w:bottom w:w="0" w:type="dxa"/>
          <w:right w:w="0" w:type="dxa"/>
        </w:tblCellMar>
      </w:tblPr>
      <w:tblGrid>
        <w:gridCol w:w="6425"/>
      </w:tblGrid>
      <w:tr>
        <w:trPr/>
        <w:tc>
          <w:tcPr>
            <w:tcW w:w="64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Notes:</w:t>
            </w:r>
          </w:p>
        </w:tc>
      </w:tr>
      <w:tr>
        <w:trPr/>
        <w:tc>
          <w:tcPr>
            <w:tcW w:w="6425" w:type="dxa"/>
            <w:tcBorders/>
            <w:vAlign w:val="center"/>
          </w:tcPr>
          <w:p>
            <w:pPr>
              <w:pStyle w:val="TableContents"/>
              <w:bidi w:val="0"/>
              <w:spacing w:before="0" w:after="283"/>
              <w:ind w:left="0" w:right="0" w:hanging="0"/>
              <w:jc w:val="left"/>
              <w:rPr/>
            </w:pPr>
            <w:r>
              <w:rPr/>
              <w:t> </w:t>
            </w:r>
          </w:p>
        </w:tc>
      </w:tr>
      <w:tr>
        <w:trPr/>
        <w:tc>
          <w:tcPr>
            <w:tcW w:w="6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The change in total cost of real estate assets for the year ended is as follows:</w:t>
            </w:r>
          </w:p>
        </w:tc>
      </w:tr>
    </w:tbl>
    <w:p>
      <w:pPr>
        <w:pStyle w:val="TextBody"/>
        <w:bidi w:val="0"/>
        <w:spacing w:before="0" w:after="0"/>
        <w:ind w:left="0" w:right="0" w:hanging="0"/>
        <w:jc w:val="left"/>
        <w:rPr/>
      </w:pPr>
      <w:r>
        <w:rPr/>
        <w:t> </w:t>
      </w:r>
    </w:p>
    <w:tbl>
      <w:tblPr>
        <w:tblW w:w="6725" w:type="dxa"/>
        <w:jc w:val="left"/>
        <w:tblInd w:w="0" w:type="dxa"/>
        <w:tblLayout w:type="fixed"/>
        <w:tblCellMar>
          <w:top w:w="0" w:type="dxa"/>
          <w:left w:w="0" w:type="dxa"/>
          <w:bottom w:w="0" w:type="dxa"/>
          <w:right w:w="0" w:type="dxa"/>
        </w:tblCellMar>
      </w:tblPr>
      <w:tblGrid>
        <w:gridCol w:w="3380"/>
        <w:gridCol w:w="60"/>
        <w:gridCol w:w="125"/>
        <w:gridCol w:w="845"/>
        <w:gridCol w:w="80"/>
        <w:gridCol w:w="60"/>
        <w:gridCol w:w="125"/>
        <w:gridCol w:w="845"/>
        <w:gridCol w:w="80"/>
        <w:gridCol w:w="60"/>
        <w:gridCol w:w="125"/>
        <w:gridCol w:w="845"/>
        <w:gridCol w:w="9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the beginning of the year</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1,512,612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1,564,433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1,556,453</w:t>
            </w:r>
          </w:p>
        </w:tc>
        <w:tc>
          <w:tcPr>
            <w:tcW w:w="9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right"/>
              <w:rPr/>
            </w:pPr>
            <w:r>
              <w:rPr/>
              <w:t>—</w:t>
            </w:r>
          </w:p>
        </w:tc>
        <w:tc>
          <w:tcPr>
            <w:tcW w:w="9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Dispositions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(87,014</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(62,647</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depreciable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(4,256</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(4,266</w:t>
            </w:r>
          </w:p>
        </w:tc>
        <w:tc>
          <w:tcPr>
            <w:tcW w:w="9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Improvements</w:t>
            </w:r>
          </w:p>
        </w:tc>
        <w:tc>
          <w:tcPr>
            <w:tcW w:w="60" w:type="dxa"/>
            <w:tcBorders/>
            <w:vAlign w:val="center"/>
          </w:tcPr>
          <w:p>
            <w:pPr>
              <w:pStyle w:val="TableContents"/>
              <w:bidi w:val="0"/>
              <w:spacing w:before="0" w:after="0"/>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16,869</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15,082</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12,246</w:t>
            </w:r>
          </w:p>
        </w:tc>
        <w:tc>
          <w:tcPr>
            <w:tcW w:w="95" w:type="dxa"/>
            <w:tcBorders>
              <w:bottom w:val="single" w:sz="2" w:space="0" w:color="000000"/>
            </w:tcBorders>
            <w:tcMar>
              <w:bottom w:w="28" w:type="dxa"/>
            </w:tcMar>
            <w:vAlign w:val="center"/>
          </w:tcPr>
          <w:p>
            <w:pPr>
              <w:pStyle w:val="TableContents"/>
              <w:bidi w:val="0"/>
              <w:spacing w:before="0" w:after="0"/>
              <w:jc w:val="left"/>
              <w:rPr/>
            </w:pPr>
            <w:r>
              <w:rPr/>
              <w:t> </w:t>
            </w:r>
          </w:p>
        </w:tc>
      </w:tr>
      <w:tr>
        <w:trPr/>
        <w:tc>
          <w:tcPr>
            <w:tcW w:w="3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the end of the year</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1,442,467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1,512,612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1,564,433</w:t>
            </w:r>
          </w:p>
        </w:tc>
        <w:tc>
          <w:tcPr>
            <w:tcW w:w="9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 at the end of the year</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39,518</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in real estate</w:t>
            </w:r>
          </w:p>
        </w:tc>
        <w:tc>
          <w:tcPr>
            <w:tcW w:w="60" w:type="dxa"/>
            <w:tcBorders/>
            <w:vAlign w:val="center"/>
          </w:tcPr>
          <w:p>
            <w:pPr>
              <w:pStyle w:val="TableContents"/>
              <w:bidi w:val="0"/>
              <w:spacing w:before="0" w:after="283"/>
              <w:ind w:left="0" w:right="0" w:hanging="0"/>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1,481,985</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1,552,852</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1,564,433</w:t>
            </w:r>
          </w:p>
        </w:tc>
        <w:tc>
          <w:tcPr>
            <w:tcW w:w="9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215" w:type="dxa"/>
        <w:jc w:val="left"/>
        <w:tblInd w:w="0" w:type="dxa"/>
        <w:tblLayout w:type="fixed"/>
        <w:tblCellMar>
          <w:top w:w="0" w:type="dxa"/>
          <w:left w:w="0" w:type="dxa"/>
          <w:bottom w:w="0" w:type="dxa"/>
          <w:right w:w="0" w:type="dxa"/>
        </w:tblCellMar>
      </w:tblPr>
      <w:tblGrid>
        <w:gridCol w:w="9215"/>
      </w:tblGrid>
      <w:tr>
        <w:trPr/>
        <w:tc>
          <w:tcPr>
            <w:tcW w:w="9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The change in accumulated depreciation and amortization of real estate assets for the year ended is as follows:</w:t>
            </w:r>
          </w:p>
        </w:tc>
      </w:tr>
    </w:tbl>
    <w:p>
      <w:pPr>
        <w:pStyle w:val="TextBody"/>
        <w:bidi w:val="0"/>
        <w:spacing w:before="0" w:after="0"/>
        <w:ind w:left="0" w:right="0" w:hanging="0"/>
        <w:jc w:val="left"/>
        <w:rPr/>
      </w:pPr>
      <w:r>
        <w:rPr/>
        <w:t> </w:t>
      </w:r>
    </w:p>
    <w:tbl>
      <w:tblPr>
        <w:tblW w:w="8190" w:type="dxa"/>
        <w:jc w:val="left"/>
        <w:tblInd w:w="0" w:type="dxa"/>
        <w:tblLayout w:type="fixed"/>
        <w:tblCellMar>
          <w:top w:w="0" w:type="dxa"/>
          <w:left w:w="0" w:type="dxa"/>
          <w:bottom w:w="0" w:type="dxa"/>
          <w:right w:w="0" w:type="dxa"/>
        </w:tblCellMar>
      </w:tblPr>
      <w:tblGrid>
        <w:gridCol w:w="5315"/>
        <w:gridCol w:w="60"/>
        <w:gridCol w:w="125"/>
        <w:gridCol w:w="695"/>
        <w:gridCol w:w="80"/>
        <w:gridCol w:w="60"/>
        <w:gridCol w:w="125"/>
        <w:gridCol w:w="695"/>
        <w:gridCol w:w="80"/>
        <w:gridCol w:w="60"/>
        <w:gridCol w:w="125"/>
        <w:gridCol w:w="695"/>
        <w:gridCol w:w="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the beginning of the year</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401,532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328,832</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expense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69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42,095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69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46,588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69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47,491</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 on dispositions</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(27,953</w:t>
            </w:r>
          </w:p>
        </w:tc>
        <w:tc>
          <w:tcPr>
            <w:tcW w:w="8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(21,379</w:t>
            </w:r>
          </w:p>
        </w:tc>
        <w:tc>
          <w:tcPr>
            <w:tcW w:w="8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 at the end of the year</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415,674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401,532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376,323</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 of finance leases at the end of the year</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accumulated depreciation and amortization</w:t>
            </w:r>
          </w:p>
        </w:tc>
        <w:tc>
          <w:tcPr>
            <w:tcW w:w="60" w:type="dxa"/>
            <w:tcBorders/>
            <w:vAlign w:val="center"/>
          </w:tcPr>
          <w:p>
            <w:pPr>
              <w:pStyle w:val="TableContents"/>
              <w:bidi w:val="0"/>
              <w:spacing w:before="0" w:after="283"/>
              <w:ind w:left="0" w:right="0" w:hanging="0"/>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416,601</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402,128</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376,323</w:t>
            </w:r>
          </w:p>
        </w:tc>
        <w:tc>
          <w:tcPr>
            <w:tcW w:w="7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r>
              <w:rPr>
                <w:rFonts w:ascii="Times New Roman;Times;serif" w:hAnsi="Times New Roman;Times;serif"/>
                <w:sz w:val="20"/>
              </w:rPr>
              <w:t xml:space="preserve">(c) The aggregate cost of properties for federal income tax purposes (in thousands) is approximately $1,482,197 as of </w:t>
            </w:r>
            <w:r>
              <w:rPr>
                <w:rStyle w:val="Emphasis"/>
                <w:rFonts w:ascii="Times New Roman;Times;serif" w:hAnsi="Times New Roman;Times;serif"/>
                <w:sz w:val="20"/>
              </w:rPr>
              <w:t>December 31, 2025</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F-33 </w:t>
      </w:r>
    </w:p>
    <w:p>
      <w:pPr>
        <w:pStyle w:val="TextBody"/>
        <w:bidi w:val="0"/>
        <w:spacing w:before="0" w:after="0"/>
        <w:ind w:left="0" w:right="0" w:hanging="0"/>
        <w:jc w:val="right"/>
        <w:rPr>
          <w:rFonts w:ascii="Times New Roman;Times;serif" w:hAnsi="Times New Roman;Times;serif"/>
          <w:b/>
          <w:sz w:val="20"/>
        </w:rPr>
      </w:pPr>
      <w:bookmarkStart w:id="36" w:name="ex_787840.htm"/>
      <w:bookmarkStart w:id="37" w:name="ksex_787840"/>
      <w:bookmarkEnd w:id="36"/>
      <w:bookmarkEnd w:id="37"/>
      <w:r>
        <w:rPr>
          <w:rFonts w:ascii="Times New Roman;Times;serif" w:hAnsi="Times New Roman;Times;serif"/>
          <w:b/>
          <w:sz w:val="20"/>
        </w:rPr>
        <w:t>Exhibit 4.1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DESCRIPTION OF THE COMPANY</w:t>
      </w:r>
      <w:r>
        <w:rPr>
          <w:rFonts w:ascii="Times New Roman" w:hAnsi="Times New Roman"/>
          <w:caps w:val="false"/>
          <w:smallCaps w:val="false"/>
          <w:sz w:val="20"/>
        </w:rPr>
        <w:t>’</w:t>
      </w:r>
      <w:r>
        <w:rPr>
          <w:rFonts w:ascii="Times New Roman" w:hAnsi="Times New Roman"/>
          <w:b/>
          <w:caps w:val="false"/>
          <w:smallCaps w:val="false"/>
          <w:sz w:val="20"/>
        </w:rPr>
        <w:t>S SECURITIES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 PURSUANT TO SECTION 12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Although the following summary describes the material terms of the securities of Chatham Lodging Trust (the “Company” or “us”) registered under Section 12 of the Securities Exchange Act of 1934, as amended, it is not a complete description of the Maryland REIT Law, or the MRL, the provisions of the Maryland General Corporation Law, or the MGCL, provisions applicable to a Maryland real estate investment trust or our declaration of trust and bylaws. We have incorporated by reference our declaration of trust and bylaws as exhibits to the Annual Report on Form 10-K of which this Exhibit 4.1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declaration of trust provides that we may issue up to 500,000,000 common shares, $0.01 par value per share, and 100,000,000 preferred shares of beneficial interest, $0.01 par value per share, or preferred shares. Our declaration of trust authorizes our board of trustees to amend our declaration of trust to increase or decrease the aggregate number of authorized shares or the number of shares of any class or series without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Under the MRL, shareholders are not personally liable for the obligations of a real estate investment trust solely as a result of their status as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Subject to the preferential rights, if any, of holders of any other class or series of shares of beneficial interest and to the provisions of our declaration of trust regarding the restrictions on ownership and transfer of our shares, holders of our common shares are entitled to receive distributions on such shares of beneficial interest out of assets legally available therefor if, as and when authorized by our board of trustees and declared by us, and the holders of our common shares are entitled to share ratably in our assets legally available for distribution to our shareholders in the event of our liquidation, dissolution or winding up after payment of or adequate provision for all of our known debts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Subject to the provisions of our declaration of trust regarding the restrictions on ownership and transfer of our shares and except as may otherwise be specified in the terms of any class or series of common shares, each outstanding common share entitles the holder to one vote on all matters submitted to a vote of shareholders, including the election of trustees, and, except as provided with respect to any other class or series of shares of beneficial interest, the holders of our common shares will possess the exclusive voting power. There is no cumulative voting in the election of our trustees, which means that the shareholders entitled to cast a majority of the votes entitled to be cast in the election of trustees can elect all of the trustees then standing for election, and the remaining shareholders will not be able to elect any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Holders of common shares have no preference, conversion, exchange, sinking fund, redemption or appraisal rights and have no preemptive rights to subscribe for any of our securities. Subject to the restrictions on ownership and transfer of shares contained in our declaration of trust and the terms of any other class or series of common shares, all of our common shares will have equal dividend, liquidation and 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Our declaration of trust authorizes our board of trustees to authorize the issuance of preferred shares in one or more classes or series and may determine, with respect to any such class or series, the rights, preferences, privileges and restrictions of the preferred shares of that class or series, including distribution rights, conversion rights, voting rights, redemption rights and terms of redemptions and liquidation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The issuance of preferred shares could have the effect of delaying, deferring or preventing a change in control or other transaction that might involve a premium price for our common shares or otherwise be in the best interests of our shareholders. In addition, any preferred shares that we issue could rank senior to our common shares with respect to the payment of distributions, in which case we could not pay any distributions on our common shares until full distributions have been paid with respect to such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Power to Reclassify Our Unissued Shares of Beneficial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Our declaration of trust authorizes our board of trustees to classify and reclassify any unissued common or preferred shares into other classes or series of shares of beneficial interest. Prior to the issuance of shares of each class or series, our board of trustees is required by the MRL and by our declaration of trust to set, subject to the provisions of our declaration of trust regarding the restrictions on ownership and transfer of shares of beneficial interest, the preferences, conversion or other rights, voting powers, restrictions, limitations as to dividends or other distributions, qualifications and terms and conditions of redemption for each class or series. Therefore, our board of trustees could authorize the issuance of common shares or preferred shares that have priority over our common shares as to voting rights, dividends or upon liquidation or with terms and conditions that could have the effect of delaying, deferring or preventing a change in control or other transaction that might involve a premium price for our common shares or otherwise be in the best interests of our shareholders. Currently, no preferred shares 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Power to Increase or Decrease Authorized Shares of Beneficial Interest and Issue Additional Common Shares and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Our declaration of trust authorizes our board of trustees to amend our declaration of trust to increase or decrease the number of authorized shares of beneficial interest to issue additional authorized but unissued common shares or preferred shares and to classify or reclassify unissued common shares or preferred shares and thereafter to issue such classified or reclassified shares of beneficial interest. The additional classes or series, as well as the common shares, will be available for issuance without further action by our shareholders, unless such action is required by applicable law or the rules of any stock exchange or automated quotation system on which our securities may be listed or traded. Although our board of trustees presently does not intend to do so, it could authorize us to issue a class or series that could, depending upon the terms of the particular class or series, delay, defer or prevent a change in control or other transaction that might involve a premium price for our common shares or otherwise be in the best interests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Restrictions on Ownership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For us to qualify as a REIT under the Internal Revenue Code of 1986, as amended, or the Code, our shares of beneficial interest must be beneficially owned by 100 or more persons during at least 335 days of a taxable year of 12 months (other than the first year for which an election to be a REIT has been made) or during a proportionate part of a shorter taxable year. Also, not more than 50% of the value of our outstanding shares of beneficial interest may be owned, directly or indirectly, by five or fewer individuals (as defined in the Code to include certain entities) during the last half of a taxable year (other than the first year for which an election to be a REIT has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Because our board of trustees believes it is at present in our best interests to qualify as a REIT, among other purposes, our declaration of trust, subject to certain exceptions, restricts the amount of our shares of beneficial interest that a person may beneficially or constructively own. Our declaration of trust provides that, subject to certain exceptions, no person may beneficially or constructively own more than 9.8% in value or in number of shares, whichever is more restrictive, of the outstanding shares of any class or series of our shares of beneficial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Our declaration of trust also prohibits any person from (i) beneficially owning shares of beneficial interest to the extent that such beneficial ownership would result in our being “closely held” within the meaning of Section 856(h) of the Code (without regard to whether the ownership interest is held during the last half of the taxable year), (ii) transferring our shares of beneficial interest to the extent that such transfer would result in our shares of beneficial interest being beneficially owned by less than 100 persons (determined under the principles of Section 856(a)(5) of the Code), (iii) beneficially or constructively owning our shares of beneficial interest to the extent such beneficial or constructive ownership would cause us to constructively own ten percent or more of the ownership interests in a tenant (other than a taxable REIT subsidiary, or TRS) of our real property within the meaning of Section 856(d)(2)(B) of the Code or (iv) beneficially or constructively owning or transferring our shares of beneficial interest if such ownership or transfer would otherwise cause us to fail to qualify as a REIT under the Code, including, but not limited to, as a result of any hotel management companies failing to qualify as “eligible independent contractors” under the REIT rules of the Code. Any person who acquires or attempts or intends to acquire beneficial or constructive ownership of our shares of beneficial interest that will or may violate any of the foregoing restrictions on transferability and ownership, or any person who would have owned our shares of beneficial interest that resulted in a transfer of shares to a charitable trust, is required to give written notice immediately to us, or in the case of a proposed or attempted transaction, to give at least 15 days prior written notice, and provide us with such other information as we may request in order to determine the effect, if any, of such transfer on our status as a REIT. The foregoing restrictions on ownership and transfer will not apply if our board of trustees determines that it is no longer in our best interests to continue to qualify as a REIT or that compliance is no longer required in order for us to qualify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Our board of trustees, in its sole discretion, may prospectively or retroactively exempt a person from certain of the limits described in the paragraph above and may establish or increase an excepted holder percentage limit for such person. The person seeking an exemption must provide to our board of trustees such representations, covenants and undertakings as our board of trustees may deem appropriate in order to conclude that granting the exemption will not cause us to lose our status as a REIT. Our board of trustees may not grant such an exemption to any person if such exemption would result in our failing to qualify as a REIT. Our board of trustees may require a ruling from the Internal Revenue Service, or the IRS, or an opinion of counsel, in either case in form and substance satisfactory to the board of trustees, in its sole discretion, in order to determine or ensure our status as a REIT. Our board of trustees may impose such conditions or restrictions as it deems appropriate in connection with granting an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 xml:space="preserve">Any attempted transfer of our shares of beneficial interest which, if effective, would violate any of the restrictions described above will result in the number of shares causing the violation to be automatically transferred to a trust for the exclusive benefit of one or more charitable beneficiaries, except that any transfer that results in the violation of the restriction relating to our shares of beneficial interest being beneficially owned by fewer than 100 persons will be void </w:t>
      </w:r>
      <w:r>
        <w:rPr>
          <w:rFonts w:ascii="Times New Roman" w:hAnsi="Times New Roman"/>
          <w:i/>
          <w:caps w:val="false"/>
          <w:smallCaps w:val="false"/>
          <w:sz w:val="20"/>
        </w:rPr>
        <w:t>ab initio</w:t>
      </w:r>
      <w:r>
        <w:rPr>
          <w:rFonts w:ascii="Times New Roman" w:hAnsi="Times New Roman"/>
          <w:caps w:val="false"/>
          <w:smallCaps w:val="false"/>
          <w:sz w:val="20"/>
        </w:rPr>
        <w:t xml:space="preserve"> . In either case, the proposed transferee will not acquire any rights in such shares. The automatic transfer will be deemed to be effective as of the close of business on the business day prior to the date of the purported transfer or other event that results in the transfer to the trust. Shares held in the trust will be issued and outstanding shares. The proposed transferee will not benefit economically from ownership of any shares held in the trust, will have no rights to dividends or other distributions and will have no rights to vote or other rights attributable to the shares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have been transferred to the trust will be paid by the recipient to the trustee upon demand. Any dividend or other distribution authorized but unpaid will be paid when due to the trustee. Any dividend or other distribution paid to the trustee will be held in trust for the charitable beneficiary. Subject to Maryland law, the trustee will have the authority (i) to rescind as void any vote cast by the proposed transferee prior to our discovery that the shares have been transferred to the trust and (ii) to recast the vote in accordance with the desires of the trustee acting for the benefit of the charitable beneficiary. However, if we have already taken irreversible trust action, then the trustee will not have the authority to rescind and recast the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Within 20 days of receiving notice from us that shares of beneficial interest have been transferred to the trust, the trustee will sell the shares to a person designated by the trustee, whose ownership of the shares will not violate the above ownership and transfer restrictions. Upon the sale, the interest of the charitable beneficiary in the shares sold will terminate and the trustee will distribute the net proceeds of the sale to the proposed transferee and to the charitable beneficiary as follows. The proposed transferee will receive the lesser of (i) the price paid by the proposed transferee for the shares or, if the event causing the shares to be held in the trust did not involve a purchase of the shares at market price (as defined in our declaration of trust), the market price of the shares on day of the event causing the shares to be held in the trust and (ii) the price received by the trustee (net of any commission and other expenses of sale) from the sale or other disposition of the shares. The trustee may reduce the amount payable to the proposed transferee by the amount of dividends or other distributions paid to the proposed transferee and owed by the proposed transferee to the trustee. Any net sale proceeds in excess of the amount payable to the proposed transferee will be paid immediately to the charitable beneficiary. If, prior to our discovery that our shares have been transferred to the trust, the shares are sold by the proposed transferee, then (i) the shares shall be deemed to have been sold on behalf of the trust and (ii) to the extent that the proposed transferee received an amount for the shares that exceeds the amount he or she was entitled to receive, the excess shall be paid to the trustee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In addition, shares of beneficial interest held in the trust will be deemed to have been offered for sale to us, or our designee, at a price per share equal to the lesser of (i) the price per share in the transaction that resulted in the transfer to the trust or, if the event causing the shares to be held in trust did not involve a purchase of the shares at market price, the market price of the shares on the day of the event causing the shares to be held in trust and (ii) the market price on the date we, or our designee, accept the offer, which we may reduce by the amount of dividends and other distributions paid to the proposed transferee and owed by the proposed transferee to the trustee. We will have the right to accept the offer until the trustee has sold the shares. Upon a sale to us, the interest of the charitable beneficiary in the shares sold will terminate and the trustee will distribute the net proceeds of the sale to the proposed transferee and the charitable beneficiary and any dividends or other distributions held by the trustee shall be paid to the charitable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 xml:space="preserve">If a transfer to a charitable trust, as described above, would be ineffective for any reason to prevent a violation of a restriction, the transfer that would have resulted in such violation will be void </w:t>
      </w:r>
      <w:r>
        <w:rPr>
          <w:rFonts w:ascii="Times New Roman" w:hAnsi="Times New Roman"/>
          <w:i/>
          <w:caps w:val="false"/>
          <w:smallCaps w:val="false"/>
          <w:sz w:val="20"/>
        </w:rPr>
        <w:t>ab initio</w:t>
      </w:r>
      <w:r>
        <w:rPr>
          <w:rFonts w:ascii="Times New Roman" w:hAnsi="Times New Roman"/>
          <w:caps w:val="false"/>
          <w:smallCaps w:val="false"/>
          <w:sz w:val="20"/>
        </w:rPr>
        <w:t>, and the proposed transferee shall acquire no rights in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Every owner of more than 5% (or such lower percentage as required by the Code or the regulations promulgated thereunder) of our shares of beneficial interest, within 30 days after the end of each taxable year, is required to give us written notice, stating his or her name and address, the number of shares of each class and series of our shares of beneficial interest that he or she beneficially owns and a description of the manner in which the shares are held. Each such owner is required to provide us with such additional information as we may request in order to determine the effect, if any, of his or her beneficial ownership on our status as a REIT and to ensure compliance with the ownership limits. In addition, each shareholder will upon demand be required to provide us with such information as we may request in good faith in order to determine our status as a REIT and to comply with the requirements of any taxing authority or governmental authority or to determine such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80"/>
        <w:jc w:val="left"/>
        <w:rPr>
          <w:rFonts w:ascii="Times New Roman" w:hAnsi="Times New Roman"/>
          <w:caps w:val="false"/>
          <w:smallCaps w:val="false"/>
          <w:sz w:val="20"/>
        </w:rPr>
      </w:pPr>
      <w:r>
        <w:rPr>
          <w:rFonts w:ascii="Times New Roman" w:hAnsi="Times New Roman"/>
          <w:caps w:val="false"/>
          <w:smallCaps w:val="false"/>
          <w:sz w:val="20"/>
        </w:rPr>
        <w:t>These ownership and transfer restrictions could delay, defer or prevent a transaction or a change in control that might involve a premium price for our shares or otherwise be in the best interest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common shares are listed on the NYSE under the symbol “CLDT.” Our preferred shares are listed on the NYSE under the symbol “CLDT-PA.”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transfer agent and registrar for our common shares is EQ Shareholder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Trustees; 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declaration of trust and bylaws provide that the number of our trustees may be established by our board of trustees but may not be more than 15. Our declaration of trust also provides that, at such time as we have at least three independent trustees and a class of our common shares or preferred shares is registered under the Exchange Act, we elect to be subject to the provision of Subtitle 8 of Title 3 of the MGCL regarding the filling of vacancies on our board of trustees. Accordingly, except as may be provided by our board of trustees in setting the terms of any class or series of shares, any and all vacancies on our board of trustees may be filled only by the affirmative vote of a majority of the remaining trustees in office, even if the remaining trustees do not constitute a quorum, and any individual elected to fill such vacancy will serve for the remainder of the full term in which the vacancy occurred and until a successor is duly elected and qualifies.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of the members of our board of trustees are elected by our shareholders annually. A plurality of all votes cast on the matter at a meeting of shareholders at which a quorum is present is sufficient to elect a trustee. The presence in person or by proxy of shareholders entitled to cast a majority of all the votes entitled to be cast at a meeting constitutes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Policy on Majority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board of trustees has adopted a policy regarding the election of trustees in uncontested elections. Pursuant to the policy, in an uncontested election of trustees, any nominee who receives a greater number of votes affirmatively withheld from his or her election than votes for his or her election will, within two weeks following certification of the shareholder vote by our company, submit a written resignation offer to our board of trustees for consideration by our Nominating and Corporate Governance Committee. Our Nominating and Corporate Governance Committee will consider the resignation offer and, within 60 days following certification by our company of the shareholder vote with respect to such election, will make a recommendation to our board of trustees concerning the acceptance or rejection of the resignation offer. Our board of trustees will take formal action on the recommendation no later than 90 days following certification of the shareholder vote by our company. We will publicly disclose the decision of our board of trustees. Our board of trustees will also provide an explanation of the process by which the decision was made and, if applicable, its reason or reasons for rejecting the tendered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Removal of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declaration of trust provides that, subject to the rights of holders of any class or series of preferred shares, a trustee may be removed only for “cause,” and then only by the affirmative vote of at least two-thirds of the votes entitled to be cast generally in the election of trustees. For this purpose, “cause” means, with respect to any particular trustee, conviction of a felony or a final judgment of a court of competent jurisdiction holding that such trustee caused demonstrable, material harm to us through bad faith or active and deliberate dishonesty. These provisions, when coupled with the exclusive power of our board of trustees to fill vacancies on our board of trustees, generally precludes shareholders from removing incumbent trustees except for “cause” and with a substantial affirmative vote and filling the vacancies created by such removal with their own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Maryland law, certain “business combinations” between a Maryland real estate investment trust and an interested shareholder or an affiliate of an interested shareholder are prohibited for five years after the most recent date on which the interested shareholder becomes an interested shareholder. These business combinations include a merger, consolidation, statutory share exchange, or, in circumstances specified in the statute, an asset transfer or issuance or reclassification of equity securities. An interested shareholder is defined 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any person who beneficially owns, directly or indirectly, ten percent or more of the voting power of the real estate investment trust’s voting shares;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affiliate or associate of the real estate investment trust who, at any time within the two-year period prior to the date in question, was the beneficial owner, directly or indirectly, of ten percent or more of the voting power of the then outstanding voting shares of the real estate investment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person is not an interested shareholder under the statute if the board of trustees approved in advance the transaction by which he otherwise would have become an interested shareholder. However, in approving a transaction, the board of trustees may provide that its approval is subject to compliance, at or after the time of approval, with any terms and conditions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After the five-year prohibition, any business combination between the Maryland real estate investment trust and an interested shareholder generally must be recommended by the board of trustees of the trust and approved by the affirmative vote of at least:</w:t>
      </w:r>
    </w:p>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60"/>
        <w:gridCol w:w="110"/>
        <w:gridCol w:w="92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 of the votes entitled to be cast by holders of outstanding voting shares of the real estate investment trust;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two-thirds of the votes entitled to be cast by holders of voting shares of the real estate investment trust other than shares held by the interested shareholder with whom or with whose affiliate the business combination is to be effected or held by an affiliate or associate of the interested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super majority approval requirements do not apply if the real estate investment trust’s common shareholders receive a minimum price, as defined under Maryland law, for their shares in the form of cash or other consideration in the same form as previously paid by the interested shareholder for its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statute permits various exemptions from its provisions, including business combinations that are exempted by the board of trustees before the time that the interested shareholder becomes an interested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statute, our board of trustees has by resolution exempted business combinations between us and any other person from these provisions of the MGCL, provided that the business combination is first approved by our board of trustees, including a majority of trustees who are not affiliates or associates of such person, and, consequently, the five year prohibition and the supermajority vote requirements will not apply to such business combinations. As a result, any person may be able to enter into business combinations with us that may not be in the best interests of our shareholders without compliance by us with the supermajority vote requirements and other provisions of the statute. This resolution, however, may be altered or repealed in whole or in part at any time. If this resolution is repealed, or our board of trustees does not otherwise approve a business combination, the statute may discourage others from trying to acquire control of us and increase the difficulty of consummating any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Control Share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Maryland law provides that control shares of a Maryland real estate investment trust acquired in a control share acquisition have no voting rights except to the extent approved by the affirmative vote of two-thirds of the votes entitled to be cast on the matter. Shares owned by the acquirer, by officers or by employees who are trustees of the trust are excluded from shares entitled to vote on the matter. Control shares are voting shares which, if aggregated with all other shares owned by the acquirer or in respect of which the acquirer is able to exercise or direct the exercise of voting power (except solely by virtue of a revocable proxy), would entitle the acquirer to exercise voting power in electing trustees within one of the following ranges of voting power:</w:t>
      </w:r>
    </w:p>
    <w:p>
      <w:pPr>
        <w:pStyle w:val="TextBody"/>
        <w:bidi w:val="0"/>
        <w:spacing w:before="0" w:after="0"/>
        <w:ind w:left="0" w:right="0" w:firstLine="72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one-tenth or more but less than one-third,</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one-third or more but less than a majority, or</w:t>
            </w:r>
          </w:p>
        </w:tc>
      </w:tr>
    </w:tbl>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10"/>
        <w:gridCol w:w="314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majority or more of all voting power.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Control shares do not include shares the acquiring person is then entitled to vote as a result of having previously obtained shareholder approval or shares acquired directly from the real estate investment trust. A control share acquisition means the acquisition of control shares,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person who has made or proposes to make a control share acquisition may compel the board of trustees of the trust to call a special meeting of shareholders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real estate investment trust may itself present the question at any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voting rights are not approved at the meeting or if the acquiring person does not deliver an acquiring person statement as required by the statute, then the real estate investment trust may redeem for fair value any or all of the control shares, except those for which voting rights have previously been approved. The right of the real estate investment trust to redeem control shares is subject to certain conditions and limitations. Fair value is determined, without regard to the absence of voting rights for the control shares, as of the date of the last control share acquisition by the acquirer or of any meeting of shareholders at which the voting rights of the shares are considered and not approved. If voting rights for control shares are approved at a shareholders meeting and the acquirer becomes entitled to vote a majority of the shares entitled to vote, all other shareholders may exercise appraisal rights. The fair value of the shares as determined for purposes of appraisal rights may not be less than the highest price per share paid by the acquirer in the control share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control share acquisition statute does not apply (a) to shares acquired in a merger, consolidation or share exchange if the real estate investment trust is a party to the transaction, or (b) to acquisitions approved or exempted by the declaration of trust or bylaws of the real estate investment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bylaws contain a provision exempting from the control share acquisition statute any and all acquisitions by any person of our shares. There is no assurance that such provision will not be amended or eliminated at any time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Subtitle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Subtitle 8 of Title 3 of the MGCL permits a Maryland real estate investment trust with a class of equity securities registered under the Exchange Act and at least three independent trustees to elect to be subject, by provision in its declaration of trust or bylaws or a resolution of its board of trustees and notwithstanding any contrary provision in the declaration of trust or bylaws, to any or all of five provisions:</w:t>
      </w:r>
    </w:p>
    <w:p>
      <w:pPr>
        <w:pStyle w:val="TextBody"/>
        <w:bidi w:val="0"/>
        <w:spacing w:before="0" w:after="0"/>
        <w:ind w:left="0" w:right="0" w:firstLine="72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10"/>
        <w:gridCol w:w="149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classified board;</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two-thirds vote of outstanding shares for removing a trustee;</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110"/>
        <w:gridCol w:w="633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requirement that the number of trustees be fixed only by vote of the trustees;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requirement that a vacancy on the board be filled only by the remaining trustees and for the remainder of the full term of the class of trustees in which the vacancy occurred; and</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majority requirement for the calling of a shareholder-requested special meeting of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elected to be subject to the provision of Subtitle 8 that requires that vacancies on our board may be filled only by the remaining trustees and for the remainder of the full term of the trusteeship in which the vacancy occurred. Through provisions in our declaration of trust and bylaws unrelated to Subtitle 8, we already (1) require the affirmative vote of the holders of not less than two-thirds of all of the votes entitled to be cast on the matter for the removal of any trustee from the board, which removal will be allowed only for cause, (2) vest in the board the exclusive power to fix the number of trusteeships and (3) provide that special meetings of our shareholders may only be called by our chairman, chief executive officer, president and board of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our declaration of trust and bylaws, a meeting of our shareholders for the purpose of the election of trustees and the transaction of any business will be held annually on a date and at the time and place set by our board of trustees. In addition, our chairman, chief executive officer, president or board of trustees may call a special meeting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Mergers; Extraordinary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MRL, a Maryland real estate investment trust generally cannot merge with, or convert into, another entity unless advised by its board of trustees and approved by the affirmative vote of shareholders holding at least two-thirds of the shares entitled to vote on the matter unless a lesser percentage (but not less than a majority of all of the votes entitled to be cast on the matter) is set forth in the trust’s declaration of trust. Our declaration of trust provides that these actions may be approved by the affirmative vote of a majority of all of the votes entitled to be cast on the matter. Our declaration of trust also provides that we may sell or transfer all or substantially all of our assets if advised by our board of trustees and approved by the affirmative vote of a majority of all the votes entitled to be cast on the matter. However, many of our operating assets are held by our subsidiaries, and these subsidiaries may be able to sell all or substantially all of their assets or merge with another entity without the approval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Amendment to Our Declaration of Trust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MRL, a Maryland real estate investment trust generally cannot amend its declaration of trust unless advised by its board of trustees and approved by the affirmative vote of shareholders entitled to cast at least two-thirds of the votes entitled to be cast on the matter unless a different percentage (but not less than a majority of all of the votes entitled to be cast on the matter) is set forth in the trust’s declaration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Except for amendments to the provisions of our declaration of trust related to the removal of trustees and the vote required to amend the provision regarding amendments to the removal provisions itself (each of which require the affirmative vote of the holders of not less than two-thirds of all the votes entitled to be cast on the matter) and certain amendments described in our declaration of trust that require only approval by our board of trustees, our declaration of trust may be amended only if advised by our board of trustees and approved by the affirmative vote of at least a majority of all of the votes entitled to be cast on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board of trustees has the power, subject to the shareholders rights to amend the bylaws to the extent provided in the declaration of trust and the bylaws, to adopt, alter or repeal any provision of our bylaws and to make new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declaration of trust provides for us to have a perpetual existence. Our termination must be approved by a majority of our entire board of trustees and the affirmative vote of the holders of not less than a majority of all of the votes entitled to be cast on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Advance Notice of Trustee Nominations and New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bylaws provide that, with respect to an annual meeting of shareholders, nominations of individuals for election to our board of trustees at an annual meeting and the proposal of business to be considered by shareholders may be made only (1) pursuant to our notice of the meeting, (2) by or at the direction of our board of trustees or (3) by a shareholder of record both at the time of giving notice and at the time of the annual meeting who is entitled to vote at the meeting and has complied with the advance notice provisions set forth in our bylaws. Our bylaws currently require the shareholder generally to provide notice to the secretary containing the information required by our bylaws not less than 120 days nor more than 150 days prior to the first anniversary of the date of our proxy statement for the solicitation of proxies for election of trustees at the preceding year’s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With respect to special meetings of shareholders, only the business specified in our notice of meeting may be brought before the meeting. Nominations of individuals for election to our board of trustees at a special meeting may be made only (1) by or at the direction of our board of trustees or (2) provided that our board of trustees has determined that trustees will be elected at such meeting, by a shareholder of record at the time of giving notice and who is entitled to vote at the meeting in the election of each individual so nominated and has complied with the advance notice provisions set forth in our bylaws. Such shareholder may nominate one or more individuals, as the case may be, for election as a trustee if the shareholder’s notice containing the information required by our bylaws is delivered to the secretary not earlier than the 120th day prior to such special meeting and not later than 5:00 p.m., eastern time, on the later of (1) the 90th day prior to such special meeting or (2) the tenth day following the day on which public announcement is first made of the date of the special meeting and the proposed nominees of our board of trustees to be elected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Exclusive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derivative action or proceeding brought on our behalf, (b) any action asserting a claim of breach of any duty owed by any of our trustees, officers or other employees to us or to our shareholders, (c) any action asserting a claim against us or any of our trustees, officers or other employees arising pursuant to any provision of the MRL, the MGCL (to the extent applicable to us) or our declaration of trust or bylaws or (d) any action asserting a claim against us or any of our trustees, officers or other employees that is governed by the internal affairs doctrine. This exclusive forum provision is intended to apply to claims arising under Maryland sate law and would not apply to claims brought pursuant to the Securities Exchange Act of 1934, as amended, or the Securities Act of 1933, as amended, or any other claim for which federal courts have exclusive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Indemnification and Limitation of Trustees</w:t>
      </w:r>
      <w:r>
        <w:rPr>
          <w:rFonts w:ascii="Times New Roman" w:hAnsi="Times New Roman"/>
          <w:caps w:val="false"/>
          <w:smallCaps w:val="false"/>
          <w:sz w:val="20"/>
        </w:rPr>
        <w:t xml:space="preserve">’ </w:t>
      </w:r>
      <w:r>
        <w:rPr>
          <w:rFonts w:ascii="Times New Roman" w:hAnsi="Times New Roman"/>
          <w:b/>
          <w:caps w:val="false"/>
          <w:smallCaps w:val="false"/>
          <w:sz w:val="20"/>
        </w:rPr>
        <w:t>and Officers</w:t>
      </w:r>
      <w:r>
        <w:rPr>
          <w:rFonts w:ascii="Times New Roman" w:hAnsi="Times New Roman"/>
          <w:caps w:val="false"/>
          <w:smallCaps w:val="false"/>
          <w:sz w:val="20"/>
        </w:rPr>
        <w:t xml:space="preserve">’ </w:t>
      </w:r>
      <w:r>
        <w:rPr>
          <w:rFonts w:ascii="Times New Roman" w:hAnsi="Times New Roman"/>
          <w:b/>
          <w:caps w:val="false"/>
          <w:smallCaps w:val="false"/>
          <w:sz w:val="20"/>
        </w:rPr>
        <w:t>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Maryland law permits a Maryland real estate investment trust to include in its declaration of trust a provision limiting the liability of its trustees and officers to the trust and its shareholders for money damages except for liability resulting from (a) actual receipt of an improper benefit or profit in money, property or services or (b) active or deliberate dishonesty established by a final judgment and is material to the cause of action. Our declaration of trust contains a provision which limits the liability of our trustees and officers to the maximum extent permitted by Maryland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declaration of trust permits us and our bylaws obligate us, to the maximum extent permitted by Maryland law, to indemnify and to pay or reimburse reasonable expenses in advance of final disposition of a proceeding to (a) any present or former trustee or officer or (b) any individual who, while a trustee or officer and at our request, serves or has served another real estate investment trust, corporation, partnership, limited liability company, joint venture, trust, employee benefit plan or any other enterprise as a trustee, director, officer, partner, member or manager and who is made or is threatened to be made a party to the proceeding by reason of his or her service in any such capacity, from and against any claim or liability to which that individual may become subject or which that individual may incur by reason of his or her service in any such capacity and to pay or reimburse his or her reasonable expenses in advance of final disposition of a proceeding. Our declaration of trust and bylaws also permit us to indemnify and advance expenses to any person who served a predecessor of our company in any of the capacities described above and to any employee or agent of our company or a predecessor of our company. Maryland law requires us to indemnify a trustee or officer who has been successful, on the merits or otherwise, in the defense of any proceeding to which he or she is made a party by reason of his or her service in that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MRL permits a Maryland real estate investment trust to indemnify and advance expenses to its trustees, officers, employees and agents to the same extent as permitted for directors and officers of Maryland corporations. The MGCL permits a Maryland corporation to indemnify its present and former directors and officers, among others, against judgments, penalties, fines, settlements and reasonable expenses actually incurred by them in connection with any proceeding to which they may be a party by reason of their service in those or other capacities unless it is established that (a) the act or omission of the director or officer was material to the matter giving rise to the proceeding and (i) was committed in bad faith or (ii) was a result of active and deliberate dishonesty, (b) the director or officer actually received an improper personal benefit in money, property or services or (c) in the case of any criminal proceeding, the director or officer has reasonable cause to believe that the act or omission was unlawful. However, a Maryland corporation may not indemnify for an adverse judgment in a suit by or in the right if the corporation or if the director or officer was adjudged to be liable on the basis that a personal benefit was improperly received, unless in either case a court orders indemnification and then only for expenses. The MGCL requires us, as a condition to advancing expenses, to obtain (a) a written affirmation by the trustee or officer of his or her good faith belief that he or she has met the standard of conduct necessary for indemnification and (b) a written statement by or on his or her behalf to repay the amount paid or reimbursed by us if it shall ultimately be determined that the standard of conduct was not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entered into indemnification agreements with our trustees and our executive officers providing for procedures for indemnification by us to the fullest extent permitted by law and advancements by us of certain expenses and costs relating to claims, suits or proceedings arising from their service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REIT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declaration of trust provides that our board of trustees may revoke or otherwise terminate our REIT election, without approval of our shareholders, if it determines that it is no longer in our best interests to continue to qualify as a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8" w:name="ex_787841.htm"/>
      <w:bookmarkStart w:id="39" w:name="ksex_787841"/>
      <w:bookmarkEnd w:id="38"/>
      <w:bookmarkEnd w:id="39"/>
      <w:r>
        <w:rPr>
          <w:rFonts w:ascii="Times New Roman;Times;serif" w:hAnsi="Times New Roman;Times;serif"/>
          <w:b/>
          <w:sz w:val="20"/>
        </w:rPr>
        <w:t>Exhibit 21.1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List of Subsidiaries of Chatham Lodging Trust</w:t>
      </w:r>
    </w:p>
    <w:p>
      <w:pPr>
        <w:pStyle w:val="TextBody"/>
        <w:bidi w:val="0"/>
        <w:spacing w:before="0" w:after="0"/>
        <w:ind w:left="0" w:right="0" w:hanging="0"/>
        <w:jc w:val="center"/>
        <w:rPr>
          <w:caps w:val="false"/>
          <w:smallCaps w:val="false"/>
        </w:rPr>
      </w:pPr>
      <w:r>
        <w:rPr>
          <w:caps w:val="false"/>
          <w:smallCaps w:val="false"/>
        </w:rPr>
        <w:t> </w:t>
      </w:r>
    </w:p>
    <w:tbl>
      <w:tblPr>
        <w:tblW w:w="6645" w:type="dxa"/>
        <w:jc w:val="left"/>
        <w:tblInd w:w="0" w:type="dxa"/>
        <w:tblLayout w:type="fixed"/>
        <w:tblCellMar>
          <w:top w:w="0" w:type="dxa"/>
          <w:left w:w="0" w:type="dxa"/>
          <w:bottom w:w="28" w:type="dxa"/>
          <w:right w:w="0" w:type="dxa"/>
        </w:tblCellMar>
      </w:tblPr>
      <w:tblGrid>
        <w:gridCol w:w="230"/>
        <w:gridCol w:w="3305"/>
        <w:gridCol w:w="3110"/>
      </w:tblGrid>
      <w:tr>
        <w:trPr/>
        <w:tc>
          <w:tcPr>
            <w:tcW w:w="230" w:type="dxa"/>
            <w:tcBorders>
              <w:bottom w:val="single" w:sz="2" w:space="0" w:color="000000"/>
            </w:tcBorders>
            <w:vAlign w:val="center"/>
          </w:tcPr>
          <w:p>
            <w:pPr>
              <w:pStyle w:val="TableContents"/>
              <w:bidi w:val="0"/>
              <w:spacing w:before="0" w:after="283"/>
              <w:jc w:val="left"/>
              <w:rPr/>
            </w:pPr>
            <w:r>
              <w:rPr/>
              <w:t> </w:t>
            </w:r>
          </w:p>
        </w:tc>
        <w:tc>
          <w:tcPr>
            <w:tcW w:w="33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w:t>
            </w:r>
          </w:p>
        </w:tc>
        <w:tc>
          <w:tcPr>
            <w:tcW w:w="31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of Incorporation of Organization</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Lodging L.P.</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TRS Holding, Inc.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Florida</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Leaseco I,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Florida</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Billerica HS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Brentwood HS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Farmington HS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Houston HAS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Houston HAS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Holtsville RI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Holtsville RI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Holtsville RI Utility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White Plains RI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White Plains RI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New Rochelle RI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New Rochelle RI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RIGG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RIGG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San Antonio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San Antonio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Washington DC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Washington DC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Tysons RI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Tysons RI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Portland DT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25</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Portland DT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26</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Houston CY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Houston CY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28</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Pittsburgh HP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29</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Pittsburgh HP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Exeter HAS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Exeter HAS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Bellevue RI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Bellevue RI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Savannah SHS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Savannah SHS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36</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Grand Prix Sili I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37</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Sili I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38</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Grand Prix Sili II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39</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Sili II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Grand Prix San Mateo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San Mateo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Grand Prix Mountain View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Mountain View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Cherry Creek HP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45</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Cherry Creek HP Leaseco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46</w:t>
            </w:r>
          </w:p>
        </w:tc>
        <w:tc>
          <w:tcPr>
            <w:tcW w:w="33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Addison Quorum CY LLC</w:t>
            </w:r>
          </w:p>
        </w:tc>
        <w:tc>
          <w:tcPr>
            <w:tcW w:w="31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635" w:type="dxa"/>
        <w:jc w:val="left"/>
        <w:tblInd w:w="0" w:type="dxa"/>
        <w:tblLayout w:type="fixed"/>
        <w:tblCellMar>
          <w:top w:w="0" w:type="dxa"/>
          <w:left w:w="0" w:type="dxa"/>
          <w:bottom w:w="0" w:type="dxa"/>
          <w:right w:w="0" w:type="dxa"/>
        </w:tblCellMar>
      </w:tblPr>
      <w:tblGrid>
        <w:gridCol w:w="230"/>
        <w:gridCol w:w="3635"/>
        <w:gridCol w:w="770"/>
      </w:tblGrid>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47</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Addison Quorum CY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48</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Billerica HS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49</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Houston HAS II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Gaslamp RI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Gaslamp RI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MDR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53</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MDR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54</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Dedham RI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55</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Dedham RI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56</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Lugano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57</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Lugano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58</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Warner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59</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Warner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Portsmouth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Portsmouth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62</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Summerville CY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63</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Summerville CY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64</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Summerville RI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65</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Summerville RI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66</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Springfield VA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67</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Springfield VA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68</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Portland DT 2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69</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Portland DT 2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Sili III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Sili III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72</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Dallas DT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73</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Dallas DT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74</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Austin RI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75</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Austin RI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76</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Austin TPS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77</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Austin TPS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78</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Miramar HG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79</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Miramar HG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Phoenix Downtown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81</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Chatham Phoenix Downtown Leaseco LLC</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0" w:name="ex_787842.htm"/>
      <w:bookmarkStart w:id="41" w:name="ksex_787842"/>
      <w:bookmarkEnd w:id="40"/>
      <w:bookmarkEnd w:id="41"/>
      <w:r>
        <w:rPr>
          <w:rFonts w:ascii="Times New Roman;Times;serif" w:hAnsi="Times New Roman;Times;serif"/>
          <w:b/>
          <w:sz w:val="20"/>
        </w:rPr>
        <w:t>Exhibit 23.1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hereby consent to the incorporation by reference in the Registration Statements on Form S-3 (No. 333-277517 and No. 333-276279) and S-8 (No. 333-215310) of Chatham Lodging Trust of our report dated </w:t>
      </w:r>
      <w:bookmarkStart w:id="42" w:name="led681469F2026121770051526397"/>
      <w:bookmarkEnd w:id="42"/>
      <w:r>
        <w:rPr>
          <w:rFonts w:ascii="Times New Roman" w:hAnsi="Times New Roman"/>
          <w:caps w:val="false"/>
          <w:smallCaps w:val="false"/>
          <w:sz w:val="20"/>
        </w:rPr>
        <w:t>February 27, 2026 relating to the financial statements, financial statement schedule and the effectiveness of internal control over financial reporting, which appears in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PricewaterhouseCoopers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Miami, Florida</w:t>
      </w:r>
    </w:p>
    <w:p>
      <w:pPr>
        <w:pStyle w:val="TextBody"/>
        <w:bidi w:val="0"/>
        <w:spacing w:before="0" w:after="0"/>
        <w:ind w:left="0" w:right="0" w:hanging="0"/>
        <w:jc w:val="left"/>
        <w:rPr>
          <w:rFonts w:ascii="Times New Roman" w:hAnsi="Times New Roman"/>
          <w:caps w:val="false"/>
          <w:smallCaps w:val="false"/>
          <w:sz w:val="20"/>
        </w:rPr>
      </w:pPr>
      <w:bookmarkStart w:id="43" w:name="led681469F2026121770051545804"/>
      <w:bookmarkEnd w:id="43"/>
      <w:r>
        <w:rPr>
          <w:rFonts w:ascii="Times New Roman" w:hAnsi="Times New Roman"/>
          <w:caps w:val="false"/>
          <w:smallCaps w:val="false"/>
          <w:sz w:val="20"/>
        </w:rPr>
        <w:t>February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4" w:name="ex_787843.htm"/>
      <w:bookmarkStart w:id="45" w:name="ksex_787843"/>
      <w:bookmarkEnd w:id="44"/>
      <w:bookmarkEnd w:id="45"/>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Executive Officer Pursuant 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Jeffrey H. Fisher, certify that:</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Chatham Lodging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trustees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575"/>
        <w:gridCol w:w="1505"/>
        <w:gridCol w:w="3980"/>
      </w:tblGrid>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CHATHAM LODGING TRUST</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Dated:</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46" w:name="led681469F20260181768765554416"/>
            <w:bookmarkEnd w:id="46"/>
            <w:r>
              <w:rPr>
                <w:rFonts w:ascii="Times New Roman;Times;serif" w:hAnsi="Times New Roman;Times;serif"/>
                <w:caps w:val="false"/>
                <w:smallCaps w:val="false"/>
                <w:sz w:val="20"/>
              </w:rPr>
              <w:t>February 27, 2026</w:t>
            </w:r>
          </w:p>
        </w:tc>
        <w:tc>
          <w:tcPr>
            <w:tcW w:w="39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JEFFREY H. FISHER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Jeffrey H. Fisher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President and Chief Executive Officer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7" w:name="ex_787844.htm"/>
      <w:bookmarkStart w:id="48" w:name="ksex_787844"/>
      <w:bookmarkEnd w:id="47"/>
      <w:bookmarkEnd w:id="48"/>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Financial Officer Pursuant 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Jeremy B. Wegner, certify that:</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Chatham Lodging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trustees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575"/>
        <w:gridCol w:w="1505"/>
        <w:gridCol w:w="4025"/>
      </w:tblGrid>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CHATHAM LODGING TRUST</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Dated:</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49" w:name="led681469F20260181768765610256"/>
            <w:bookmarkEnd w:id="49"/>
            <w:r>
              <w:rPr>
                <w:rFonts w:ascii="Times New Roman;Times;serif" w:hAnsi="Times New Roman;Times;serif"/>
                <w:caps w:val="false"/>
                <w:smallCaps w:val="false"/>
                <w:sz w:val="20"/>
              </w:rPr>
              <w:t>February 27, 2026</w:t>
            </w:r>
          </w:p>
        </w:tc>
        <w:tc>
          <w:tcPr>
            <w:tcW w:w="40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JEREMY B. WEGNER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Jeremy B. Wegner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and Chief Financial Officer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0" w:name="ex_787845.htm"/>
      <w:bookmarkStart w:id="51" w:name="ksex_787845"/>
      <w:bookmarkEnd w:id="50"/>
      <w:bookmarkEnd w:id="51"/>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18 U.S.C. Section</w:t>
      </w:r>
      <w:r>
        <w:rPr>
          <w:rFonts w:ascii="Times New Roman" w:hAnsi="Times New Roman"/>
          <w:caps w:val="false"/>
          <w:smallCaps w:val="false"/>
          <w:sz w:val="20"/>
        </w:rPr>
        <w:t> </w:t>
      </w:r>
      <w:r>
        <w:rPr>
          <w:rFonts w:ascii="Times New Roman" w:hAnsi="Times New Roman"/>
          <w:b/>
          <w:caps w:val="false"/>
          <w:smallCaps w:val="false"/>
          <w:sz w:val="20"/>
        </w:rPr>
        <w:t>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connection with the Annual Report of Chatham Lodging Trust (the “Company”) on Form 10-K for the period ended </w:t>
      </w:r>
      <w:bookmarkStart w:id="52" w:name="led681468F20260181768765688685"/>
      <w:bookmarkEnd w:id="52"/>
      <w:r>
        <w:rPr>
          <w:rFonts w:ascii="Times New Roman" w:hAnsi="Times New Roman"/>
          <w:caps w:val="false"/>
          <w:smallCaps w:val="false"/>
          <w:sz w:val="20"/>
        </w:rPr>
        <w:t>December 31, 2025 as filed with the Securities and Exchange Commission on the date hereof (the “Report”), I, Jeffrey H. Fisher, Chairman, President and Chief Executive Officer of the Company and I, Jeremy B. Wegner, Senior Vice President and Chief Financial Officer of the Company, certify, to our knowledge,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575"/>
        <w:gridCol w:w="1505"/>
        <w:gridCol w:w="4025"/>
      </w:tblGrid>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CHATHAM LODGING TRUST</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Dated:</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53" w:name="led681469F20260181768765653031"/>
            <w:bookmarkEnd w:id="53"/>
            <w:r>
              <w:rPr>
                <w:rFonts w:ascii="Times New Roman;Times;serif" w:hAnsi="Times New Roman;Times;serif"/>
                <w:caps w:val="false"/>
                <w:smallCaps w:val="false"/>
                <w:sz w:val="20"/>
              </w:rPr>
              <w:t>February 27, 2026</w:t>
            </w:r>
          </w:p>
        </w:tc>
        <w:tc>
          <w:tcPr>
            <w:tcW w:w="40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JEFFREY H. FISHER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Jeffrey H. Fisher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President and Chief Executive Officer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JEREMY B. WEGNER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Jeremy B. Wegner</w:t>
            </w:r>
          </w:p>
        </w:tc>
      </w:tr>
      <w:tr>
        <w:trPr/>
        <w:tc>
          <w:tcPr>
            <w:tcW w:w="5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signed original of this statement has been provided to Chatham Lodging Trust and will be retained by Chatham Lodging Trust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76045/000147604516000096/cldtex31articlesamended.htm" TargetMode="External"/><Relationship Id="rId4" Type="http://schemas.openxmlformats.org/officeDocument/2006/relationships/hyperlink" Target="http://www.sec.gov/Archives/edgar/data/1476045/000147604523000047/cldtex3220230331.htm" TargetMode="External"/><Relationship Id="rId5" Type="http://schemas.openxmlformats.org/officeDocument/2006/relationships/hyperlink" Target="http://www.sec.gov/Archives/edgar/data/1476045/000147604523000023/chathamlodgingtrustbylaw.htm" TargetMode="External"/><Relationship Id="rId6" Type="http://schemas.openxmlformats.org/officeDocument/2006/relationships/hyperlink" Target="http://www.sec.gov/Archives/edgar/data/1476045/000119312521200509/d143480dex33.htm" TargetMode="External"/><Relationship Id="rId7" Type="http://schemas.openxmlformats.org/officeDocument/2006/relationships/hyperlink" Target="http://www.sec.gov/Archives/edgar/data/1476045/000143774925025025/ex_846895.htm" TargetMode="External"/><Relationship Id="rId8" Type="http://schemas.openxmlformats.org/officeDocument/2006/relationships/hyperlink" Target="http://www.sec.gov/Archives/edgar/data/1476045/000147604516000096/cldtex102fisherempagmt.htm" TargetMode="External"/><Relationship Id="rId9" Type="http://schemas.openxmlformats.org/officeDocument/2006/relationships/hyperlink" Target="http://www.sec.gov/Archives/edgar/data/1476045/000147604516000096/cldtex104cravenempagmt.htm" TargetMode="External"/><Relationship Id="rId10" Type="http://schemas.openxmlformats.org/officeDocument/2006/relationships/hyperlink" Target="http://www.sec.gov/Archives/edgar/data/1476045/000147604515000027/exhibit101wegneremployment.htm" TargetMode="External"/><Relationship Id="rId11" Type="http://schemas.openxmlformats.org/officeDocument/2006/relationships/hyperlink" Target="http://www.sec.gov/Archives/edgar/data/1476045/000147604515000003/exhibit102cdenniscraven.htm" TargetMode="External"/><Relationship Id="rId12" Type="http://schemas.openxmlformats.org/officeDocument/2006/relationships/hyperlink" Target="http://www.sec.gov/Archives/edgar/data/1476045/000095012310012422/x76134a4exv10w5.htm" TargetMode="External"/><Relationship Id="rId13" Type="http://schemas.openxmlformats.org/officeDocument/2006/relationships/hyperlink" Target="http://www.sec.gov/Archives/edgar/data/1476045/000095012310012422/x76134a4exv10w6.htm" TargetMode="External"/><Relationship Id="rId14" Type="http://schemas.openxmlformats.org/officeDocument/2006/relationships/hyperlink" Target="http://www.sec.gov/Archives/edgar/data/1476045/000095012310012422/x76134a4exv10w7.htm" TargetMode="External"/><Relationship Id="rId15" Type="http://schemas.openxmlformats.org/officeDocument/2006/relationships/hyperlink" Target="http://www.sec.gov/Archives/edgar/data/1476045/000095012310077193/w79468exv10w2.htm" TargetMode="External"/><Relationship Id="rId16" Type="http://schemas.openxmlformats.org/officeDocument/2006/relationships/hyperlink" Target="http://www.sec.gov/Archives/edgar/data/1476045/000147604515000041/cldt-ex105wegnertimebaseds.htm" TargetMode="External"/><Relationship Id="rId17" Type="http://schemas.openxmlformats.org/officeDocument/2006/relationships/hyperlink" Target="http://www.sec.gov/Archives/edgar/data/1476045/000095012310012422/x76134a4exv3w3.htm" TargetMode="External"/><Relationship Id="rId18" Type="http://schemas.openxmlformats.org/officeDocument/2006/relationships/hyperlink" Target="http://www.sec.gov/Archives/edgar/data/1476045/000147604515000041/cldtex101amendmentno1tocha.htm" TargetMode="External"/><Relationship Id="rId19" Type="http://schemas.openxmlformats.org/officeDocument/2006/relationships/hyperlink" Target="http://www.sec.gov/Archives/edgar/data/1476045/000119312521202106/d145413dex32.htm" TargetMode="External"/><Relationship Id="rId20" Type="http://schemas.openxmlformats.org/officeDocument/2006/relationships/hyperlink" Target="http://www.sec.gov/Archives/edgar/data/1476045/000095012310012422/x76134a4exv10w9.htm" TargetMode="External"/><Relationship Id="rId21" Type="http://schemas.openxmlformats.org/officeDocument/2006/relationships/hyperlink" Target="http://www.sec.gov/Archives/edgar/data/1476045/000147604516000096/cldtex10422016time-basedlt.htm" TargetMode="External"/><Relationship Id="rId22" Type="http://schemas.openxmlformats.org/officeDocument/2006/relationships/hyperlink" Target="http://www.sec.gov/Archives/edgar/data/1476045/000147604516000096/cldtex10432016performance-.htm" TargetMode="External"/><Relationship Id="rId23" Type="http://schemas.openxmlformats.org/officeDocument/2006/relationships/hyperlink" Target="http://www.sec.gov/Archives/edgar/data/1476045/000147604521000007/chathamcldtatm-salesagreem.htm" TargetMode="External"/><Relationship Id="rId24" Type="http://schemas.openxmlformats.org/officeDocument/2006/relationships/hyperlink" Target="http://www.sec.gov/Archives/edgar/data/1476045/000143774925029977/ex_864574.htm" TargetMode="External"/><Relationship Id="rId25" Type="http://schemas.openxmlformats.org/officeDocument/2006/relationships/hyperlink" Target="http://www.sec.gov/Archives/edgar/data/1476045/000147604525000011/cldtex191insidertradingpol.htm" TargetMode="External"/><Relationship Id="rId26" Type="http://schemas.openxmlformats.org/officeDocument/2006/relationships/hyperlink" Target="http://www.sec.gov/Archives/edgar/data/1476045/000147604524000019/clawbackpolicyfinal9-13x.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60835</Words>
  <Characters>322932</Characters>
  <CharactersWithSpaces>387863</CharactersWithSpaces>
  <Paragraphs>17249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