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3,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CHATHAM LODGING TRUST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001-34693</w:t>
            </w:r>
          </w:p>
        </w:tc>
        <w:tc>
          <w:tcPr>
            <w:tcW w:w="28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27-1200777</w:t>
            </w:r>
          </w:p>
        </w:tc>
      </w:tr>
      <w:tr>
        <w:trPr>
          <w:trHeight w:val="216"/>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41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0"/>
        </w:trPr>
        <w:tc>
          <w:tcPr>
            <w:tcW w:w="3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222 Lakeview Avenue, Suite 200</w:t>
            </w:r>
          </w:p>
        </w:tc>
        <w:tc>
          <w:tcPr>
            <w:tcW w:w="41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0"/>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West Palm Beach,</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28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33401</w:t>
            </w:r>
          </w:p>
        </w:tc>
      </w:tr>
      <w:tr>
        <w:trPr>
          <w:trHeight w:val="234"/>
        </w:trPr>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180" w:type="dxa"/>
            <w:vAlign w:val="bottom"/>
          </w:tcPr>
          <w:p>
            <w:pPr>
              <w:spacing w:after="0"/>
              <w:rPr>
                <w:sz w:val="20"/>
                <w:szCs w:val="20"/>
                <w:color w:val="auto"/>
              </w:rPr>
            </w:pPr>
          </w:p>
        </w:tc>
        <w:tc>
          <w:tcPr>
            <w:tcW w:w="2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300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(561) 802-4477</w:t>
            </w:r>
          </w:p>
        </w:tc>
        <w:tc>
          <w:tcPr>
            <w:tcW w:w="284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from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20" w:type="dxa"/>
            <w:vAlign w:val="bottom"/>
          </w:tcPr>
          <w:p>
            <w:pPr>
              <w:spacing w:after="0"/>
              <w:rPr>
                <w:sz w:val="20"/>
                <w:szCs w:val="20"/>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191"/>
        </w:trPr>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Common Shares of Beneficial Interest, $0.01 par</w:t>
            </w:r>
          </w:p>
        </w:tc>
        <w:tc>
          <w:tcPr>
            <w:tcW w:w="1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tcPr>
          <w:p>
            <w:pPr>
              <w:spacing w:after="0"/>
              <w:rPr>
                <w:sz w:val="16"/>
                <w:szCs w:val="16"/>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CLDT</w:t>
            </w:r>
          </w:p>
        </w:tc>
        <w:tc>
          <w:tcPr>
            <w:tcW w:w="1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6.625% Series A Cumulative Redeemable Preferred</w:t>
            </w: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CLDT-PA</w:t>
            </w:r>
          </w:p>
        </w:tc>
        <w:tc>
          <w:tcPr>
            <w:tcW w:w="12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225" w:right="3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Current Report on Form 8-K/A amends and supplements the registrant's Current Report on Form 8-K filed on March 6, 2026 (the "Initial Report") to include the historical financial statements and unaudited pro forma financial information required by Items 9.01 (a) and (b) of Form 8-K related to the registrant's acquisition of a portfolio of six hotel properties and should be read in conjunction with the Initial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Financial statements of businesses acquired</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Midwest Hotel Portfolio</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Report of Independent Auditors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Combined Balance Sheet as of December 31, 2025</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Combined Statement of Operations for the year ended December 31, 2025</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Combined Statement of Members' Equity for the year ended December 31, 2025</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Combined Statement of Cash Flows for the year ended December 31, 2025</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Notes to the Combined Financial Statements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Pro Forma Financial Information</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Chatham Lodging Trust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Unaudited Pro Forma Consolidated Balance Sheet as of December 31,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to the Unaudited Pro Forma Consolidated Balance Sheet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Unaudited Pro Forma Consolidated Statement of Operations for the year ended December 31,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to the Unaudited Pro Forma Consolidated Statement of Operations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00" w:lineRule="exact"/>
        <w:rPr>
          <w:sz w:val="20"/>
          <w:szCs w:val="20"/>
          <w:color w:val="auto"/>
        </w:rPr>
      </w:pPr>
    </w:p>
    <w:p>
      <w:pPr>
        <w:spacing w:after="0" w:line="239" w:lineRule="exact"/>
        <w:rPr>
          <w:sz w:val="20"/>
          <w:szCs w:val="20"/>
          <w:color w:val="auto"/>
        </w:rPr>
      </w:pPr>
    </w:p>
    <w:p>
      <w:pPr>
        <w:ind w:left="980"/>
        <w:spacing w:after="0"/>
        <w:tabs>
          <w:tab w:leader="none" w:pos="24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ectPr>
          <w:pgSz w:w="11900" w:h="16838" w:orient="portrait"/>
          <w:cols w:equalWidth="0" w:num="1">
            <w:col w:w="11120"/>
          </w:cols>
          <w:pgMar w:left="320" w:top="576" w:right="459" w:bottom="1440" w:gutter="0" w:footer="0" w:header="0"/>
        </w:sectPr>
      </w:pPr>
    </w:p>
    <w:p>
      <w:pPr>
        <w:spacing w:after="0" w:line="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EE"/>
        </w:rPr>
        <w:t>23.1</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EE"/>
        </w:rPr>
        <w:t>99.1</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EE"/>
        </w:rPr>
        <w:t>99.2</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-127635</wp:posOffset>
            </wp:positionV>
            <wp:extent cx="65151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0" cy="8255"/>
                    </a:xfrm>
                    <a:prstGeom prst="rect">
                      <a:avLst/>
                    </a:prstGeom>
                    <a:noFill/>
                  </pic:spPr>
                </pic:pic>
              </a:graphicData>
            </a:graphic>
          </wp:anchor>
        </w:drawing>
      </w:r>
    </w:p>
    <w:p>
      <w:pPr>
        <w:spacing w:after="0" w:line="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Audited Combined Financial Statements of the Midwest Hotel Portfolio as of and for the year ended December 31, 2025 Unaudited Pro Forma Consolidated Financial Statements of Chatham Lodging Trust as of and for the year ended December 31,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p>
      <w:pPr>
        <w:spacing w:after="0" w:line="200" w:lineRule="exact"/>
        <w:rPr>
          <w:sz w:val="20"/>
          <w:szCs w:val="20"/>
          <w:color w:val="auto"/>
        </w:rPr>
      </w:pPr>
    </w:p>
    <w:p>
      <w:pPr>
        <w:sectPr>
          <w:pgSz w:w="11900" w:h="16838" w:orient="portrait"/>
          <w:cols w:equalWidth="0" w:num="2">
            <w:col w:w="1720" w:space="720"/>
            <w:col w:w="8680"/>
          </w:cols>
          <w:pgMar w:left="320" w:top="576" w:right="45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76" w:right="45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CHATHAM LODGING TRUST</w:t>
      </w:r>
    </w:p>
    <w:p>
      <w:pPr>
        <w:spacing w:after="0" w:line="27" w:lineRule="exact"/>
        <w:rPr>
          <w:sz w:val="20"/>
          <w:szCs w:val="20"/>
          <w:color w:val="auto"/>
        </w:rPr>
      </w:pPr>
    </w:p>
    <w:p>
      <w:pPr>
        <w:ind w:left="500"/>
        <w:spacing w:after="0"/>
        <w:tabs>
          <w:tab w:leader="none" w:pos="5620" w:val="left"/>
        </w:tabs>
        <w:rPr>
          <w:sz w:val="20"/>
          <w:szCs w:val="20"/>
          <w:color w:val="auto"/>
        </w:rPr>
      </w:pPr>
      <w:r>
        <w:rPr>
          <w:rFonts w:ascii="Times New Roman" w:cs="Times New Roman" w:eastAsia="Times New Roman" w:hAnsi="Times New Roman"/>
          <w:sz w:val="18"/>
          <w:szCs w:val="18"/>
          <w:i w:val="1"/>
          <w:iCs w:val="1"/>
          <w:color w:val="auto"/>
        </w:rPr>
        <w:t>May 6, 2026</w:t>
      </w:r>
      <w:r>
        <w:rPr>
          <w:sz w:val="20"/>
          <w:szCs w:val="20"/>
          <w:color w:val="auto"/>
        </w:rPr>
        <w:tab/>
      </w:r>
      <w:r>
        <w:rPr>
          <w:rFonts w:ascii="Times New Roman" w:cs="Times New Roman" w:eastAsia="Times New Roman" w:hAnsi="Times New Roman"/>
          <w:sz w:val="18"/>
          <w:szCs w:val="18"/>
          <w:i w:val="1"/>
          <w:iCs w:val="1"/>
          <w:color w:val="auto"/>
        </w:rPr>
        <w:t>By: /s/ Jeremy Wegner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i w:val="1"/>
          <w:iCs w:val="1"/>
          <w:color w:val="auto"/>
        </w:rPr>
        <w:t>Name: Jeremy Wegner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Title: Senior Vice President and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00" w:lineRule="exact"/>
        <w:rPr>
          <w:sz w:val="20"/>
          <w:szCs w:val="20"/>
          <w:color w:val="auto"/>
        </w:rPr>
      </w:pPr>
    </w:p>
    <w:p>
      <w:pPr>
        <w:spacing w:after="0" w:line="2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333-277517 and No. 333-276279) and S-8 (No. 333-215310) of Chatham Lodging Trust of our report dated May 6, 2026 relating to the combined financial statements of Effingham Hospitality Partners LLC, Effingham Hospitality Partners II LLC, Paducah Hospitality Partners LLC, Paducah Hospitality Partners II LLC, Joplin Hospitality Partners II LLC, and Joplin Hospitality Partners III LLC, which appears in this Current Report on Form 8-K/A.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2026</w:t>
      </w:r>
    </w:p>
    <w:p>
      <w:pPr>
        <w:sectPr>
          <w:pgSz w:w="11900" w:h="16838" w:orient="portrait"/>
          <w:cols w:equalWidth="0" w:num="1">
            <w:col w:w="11080"/>
          </w:cols>
          <w:pgMar w:left="48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b w:val="1"/>
          <w:bCs w:val="1"/>
          <w:color w:val="auto"/>
        </w:rPr>
        <w:t>MIDWEST HOTEL PORTFOLIO</w:t>
      </w:r>
    </w:p>
    <w:p>
      <w:pPr>
        <w:spacing w:after="0" w:line="23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color w:val="auto"/>
        </w:rPr>
        <w:t>Which is the following entities combined:</w:t>
      </w:r>
    </w:p>
    <w:p>
      <w:pPr>
        <w:spacing w:after="0" w:line="14" w:lineRule="exact"/>
        <w:rPr>
          <w:sz w:val="20"/>
          <w:szCs w:val="20"/>
          <w:color w:val="auto"/>
        </w:rPr>
      </w:pPr>
    </w:p>
    <w:p>
      <w:pPr>
        <w:ind w:right="740" w:hanging="1"/>
        <w:spacing w:after="0" w:line="258" w:lineRule="auto"/>
        <w:rPr>
          <w:sz w:val="20"/>
          <w:szCs w:val="20"/>
          <w:color w:val="auto"/>
        </w:rPr>
      </w:pPr>
      <w:r>
        <w:rPr>
          <w:rFonts w:ascii="Times New Roman" w:cs="Times New Roman" w:eastAsia="Times New Roman" w:hAnsi="Times New Roman"/>
          <w:sz w:val="21"/>
          <w:szCs w:val="21"/>
          <w:color w:val="auto"/>
        </w:rPr>
        <w:t>Effingham Hospitality Partners LLC, Effingham Hospitality Partners II LLC, Paducah Hospitality Partners LLC, Paducah Hospitality Partners II LLC, Joplin Hospitality Partners II LLC, and Joplin Hospitality Partners III LLC</w:t>
      </w:r>
    </w:p>
    <w:p>
      <w:pPr>
        <w:spacing w:after="0" w:line="182"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b w:val="1"/>
          <w:bCs w:val="1"/>
          <w:color w:val="auto"/>
        </w:rPr>
        <w:t>Combined Financial Statements</w:t>
      </w:r>
    </w:p>
    <w:p>
      <w:pPr>
        <w:spacing w:after="0" w:line="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2"/>
          <w:szCs w:val="22"/>
          <w:b w:val="1"/>
          <w:bCs w:val="1"/>
          <w:color w:val="auto"/>
        </w:rPr>
        <w:t>As of December 31, 2025 and</w:t>
      </w:r>
    </w:p>
    <w:p>
      <w:pPr>
        <w:jc w:val="center"/>
        <w:ind w:right="740"/>
        <w:spacing w:after="0"/>
        <w:rPr>
          <w:sz w:val="20"/>
          <w:szCs w:val="20"/>
          <w:color w:val="auto"/>
        </w:rPr>
      </w:pPr>
      <w:r>
        <w:rPr>
          <w:rFonts w:ascii="Times New Roman" w:cs="Times New Roman" w:eastAsia="Times New Roman" w:hAnsi="Times New Roman"/>
          <w:sz w:val="22"/>
          <w:szCs w:val="22"/>
          <w:b w:val="1"/>
          <w:bCs w:val="1"/>
          <w:color w:val="auto"/>
        </w:rPr>
        <w:t>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2833370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114" w:right="339" w:bottom="1440" w:gutter="0" w:footer="0" w:header="0"/>
        </w:sectPr>
      </w:pPr>
    </w:p>
    <w:bookmarkStart w:id="5" w:name="page6"/>
    <w:bookmarkEnd w:id="5"/>
    <w:tbl>
      <w:tblPr>
        <w:tblLayout w:type="fixed"/>
        <w:tblInd w:w="1120" w:type="dxa"/>
        <w:tblCellMar>
          <w:top w:w="0" w:type="dxa"/>
          <w:left w:w="0" w:type="dxa"/>
          <w:bottom w:w="0" w:type="dxa"/>
          <w:right w:w="0" w:type="dxa"/>
        </w:tblCellMar>
      </w:tblPr>
      <w:tr>
        <w:trPr>
          <w:trHeight w:val="262"/>
        </w:trPr>
        <w:tc>
          <w:tcPr>
            <w:tcW w:w="5200" w:type="dxa"/>
            <w:vAlign w:val="bottom"/>
          </w:tcPr>
          <w:p>
            <w:pPr>
              <w:ind w:left="3000"/>
              <w:spacing w:after="0"/>
              <w:rPr>
                <w:sz w:val="20"/>
                <w:szCs w:val="20"/>
                <w:color w:val="auto"/>
              </w:rPr>
            </w:pPr>
            <w:r>
              <w:rPr>
                <w:rFonts w:ascii="Times New Roman" w:cs="Times New Roman" w:eastAsia="Times New Roman" w:hAnsi="Times New Roman"/>
                <w:sz w:val="20"/>
                <w:szCs w:val="20"/>
                <w:b w:val="1"/>
                <w:bCs w:val="1"/>
                <w:color w:val="auto"/>
              </w:rPr>
              <w:t>Contents</w:t>
            </w: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12"/>
        </w:trPr>
        <w:tc>
          <w:tcPr>
            <w:tcW w:w="5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Report of Independent Auditors</w:t>
            </w:r>
          </w:p>
        </w:tc>
        <w:tc>
          <w:tcPr>
            <w:tcW w:w="156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w w:val="79"/>
              </w:rPr>
              <w:t>3</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Combined Financial Statements</w:t>
            </w: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Combined Balance Sheet</w:t>
            </w:r>
          </w:p>
        </w:tc>
        <w:tc>
          <w:tcPr>
            <w:tcW w:w="1540" w:type="dxa"/>
            <w:vAlign w:val="bottom"/>
          </w:tcPr>
          <w:p>
            <w:pPr>
              <w:ind w:left="1460"/>
              <w:spacing w:after="0"/>
              <w:rPr>
                <w:sz w:val="20"/>
                <w:szCs w:val="20"/>
                <w:color w:val="auto"/>
              </w:rPr>
            </w:pPr>
            <w:r>
              <w:rPr>
                <w:rFonts w:ascii="Times New Roman" w:cs="Times New Roman" w:eastAsia="Times New Roman" w:hAnsi="Times New Roman"/>
                <w:sz w:val="16"/>
                <w:szCs w:val="16"/>
                <w:color w:val="auto"/>
                <w:w w:val="74"/>
              </w:rPr>
              <w:t>4</w:t>
            </w:r>
          </w:p>
        </w:tc>
        <w:tc>
          <w:tcPr>
            <w:tcW w:w="20" w:type="dxa"/>
            <w:vAlign w:val="bottom"/>
          </w:tcPr>
          <w:p>
            <w:pPr>
              <w:spacing w:after="0"/>
              <w:rPr>
                <w:sz w:val="19"/>
                <w:szCs w:val="19"/>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Combined Statement of Operations</w:t>
            </w:r>
          </w:p>
        </w:tc>
        <w:tc>
          <w:tcPr>
            <w:tcW w:w="15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w w:val="74"/>
              </w:rPr>
              <w:t>5</w:t>
            </w:r>
          </w:p>
        </w:tc>
        <w:tc>
          <w:tcPr>
            <w:tcW w:w="20" w:type="dxa"/>
            <w:vAlign w:val="bottom"/>
          </w:tcPr>
          <w:p>
            <w:pPr>
              <w:spacing w:after="0"/>
              <w:rPr>
                <w:sz w:val="19"/>
                <w:szCs w:val="19"/>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Combined Statement of Members' Equity</w:t>
            </w:r>
          </w:p>
        </w:tc>
        <w:tc>
          <w:tcPr>
            <w:tcW w:w="1540" w:type="dxa"/>
            <w:vAlign w:val="bottom"/>
          </w:tcPr>
          <w:p>
            <w:pPr>
              <w:ind w:left="1460"/>
              <w:spacing w:after="0"/>
              <w:rPr>
                <w:sz w:val="20"/>
                <w:szCs w:val="20"/>
                <w:color w:val="auto"/>
              </w:rPr>
            </w:pPr>
            <w:r>
              <w:rPr>
                <w:rFonts w:ascii="Times New Roman" w:cs="Times New Roman" w:eastAsia="Times New Roman" w:hAnsi="Times New Roman"/>
                <w:sz w:val="16"/>
                <w:szCs w:val="16"/>
                <w:color w:val="auto"/>
                <w:w w:val="74"/>
              </w:rPr>
              <w:t>6</w:t>
            </w:r>
          </w:p>
        </w:tc>
        <w:tc>
          <w:tcPr>
            <w:tcW w:w="20" w:type="dxa"/>
            <w:vAlign w:val="bottom"/>
          </w:tcPr>
          <w:p>
            <w:pPr>
              <w:spacing w:after="0"/>
              <w:rPr>
                <w:sz w:val="19"/>
                <w:szCs w:val="19"/>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Combined Statement of Cash Flows</w:t>
            </w:r>
          </w:p>
        </w:tc>
        <w:tc>
          <w:tcPr>
            <w:tcW w:w="15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w w:val="74"/>
              </w:rPr>
              <w:t>7</w:t>
            </w:r>
          </w:p>
        </w:tc>
        <w:tc>
          <w:tcPr>
            <w:tcW w:w="20" w:type="dxa"/>
            <w:vAlign w:val="bottom"/>
          </w:tcPr>
          <w:p>
            <w:pPr>
              <w:spacing w:after="0"/>
              <w:rPr>
                <w:sz w:val="19"/>
                <w:szCs w:val="19"/>
                <w:color w:val="auto"/>
              </w:rPr>
            </w:pPr>
          </w:p>
        </w:tc>
      </w:tr>
      <w:tr>
        <w:trPr>
          <w:trHeight w:val="258"/>
        </w:trPr>
        <w:tc>
          <w:tcPr>
            <w:tcW w:w="5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Notes to Combined Financial Statements</w:t>
            </w:r>
          </w:p>
        </w:tc>
        <w:tc>
          <w:tcPr>
            <w:tcW w:w="1540" w:type="dxa"/>
            <w:vAlign w:val="bottom"/>
          </w:tcPr>
          <w:p>
            <w:pPr>
              <w:ind w:left="1460"/>
              <w:spacing w:after="0"/>
              <w:rPr>
                <w:sz w:val="20"/>
                <w:szCs w:val="20"/>
                <w:color w:val="auto"/>
              </w:rPr>
            </w:pPr>
            <w:r>
              <w:rPr>
                <w:rFonts w:ascii="Times New Roman" w:cs="Times New Roman" w:eastAsia="Times New Roman" w:hAnsi="Times New Roman"/>
                <w:sz w:val="16"/>
                <w:szCs w:val="16"/>
                <w:color w:val="auto"/>
                <w:w w:val="74"/>
              </w:rPr>
              <w:t>8</w:t>
            </w:r>
          </w:p>
        </w:tc>
        <w:tc>
          <w:tcPr>
            <w:tcW w:w="20" w:type="dxa"/>
            <w:vAlign w:val="bottom"/>
          </w:tcPr>
          <w:p>
            <w:pPr>
              <w:spacing w:after="0"/>
              <w:rPr>
                <w:sz w:val="22"/>
                <w:szCs w:val="22"/>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6" w:name="page7"/>
    <w:bookmarkEnd w:id="6"/>
    <w:p>
      <w:pPr>
        <w:jc w:val="center"/>
        <w:ind w:right="112"/>
        <w:spacing w:after="0"/>
        <w:rPr>
          <w:sz w:val="20"/>
          <w:szCs w:val="20"/>
          <w:color w:val="auto"/>
        </w:rPr>
      </w:pPr>
      <w:r>
        <w:rPr>
          <w:rFonts w:ascii="Times New Roman" w:cs="Times New Roman" w:eastAsia="Times New Roman" w:hAnsi="Times New Roman"/>
          <w:sz w:val="20"/>
          <w:szCs w:val="20"/>
          <w:b w:val="1"/>
          <w:bCs w:val="1"/>
          <w:color w:val="auto"/>
        </w:rPr>
        <w:t>Report of Independent Auditors</w:t>
      </w:r>
    </w:p>
    <w:p>
      <w:pPr>
        <w:spacing w:after="0" w:line="233" w:lineRule="exact"/>
        <w:rPr>
          <w:sz w:val="20"/>
          <w:szCs w:val="20"/>
          <w:color w:val="auto"/>
        </w:rPr>
      </w:pPr>
    </w:p>
    <w:p>
      <w:pPr>
        <w:ind w:left="8" w:right="300"/>
        <w:spacing w:after="0" w:line="269" w:lineRule="auto"/>
        <w:rPr>
          <w:sz w:val="20"/>
          <w:szCs w:val="20"/>
          <w:color w:val="auto"/>
        </w:rPr>
      </w:pPr>
      <w:r>
        <w:rPr>
          <w:rFonts w:ascii="Times New Roman" w:cs="Times New Roman" w:eastAsia="Times New Roman" w:hAnsi="Times New Roman"/>
          <w:sz w:val="20"/>
          <w:szCs w:val="20"/>
          <w:color w:val="auto"/>
        </w:rPr>
        <w:t>To the Management of Effingham Hospitality Partners LLC, Effingham Hospitality Partners II LLC, Paducah Hospitality Partners LLC, Paducah Hospitality Partners II LLC, Joplin Hospitality Partners II LLC, and Joplin Hospitality Partners III LLC</w:t>
      </w:r>
    </w:p>
    <w:p>
      <w:pPr>
        <w:spacing w:after="0" w:line="1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Opinion</w:t>
      </w:r>
    </w:p>
    <w:p>
      <w:pPr>
        <w:spacing w:after="0" w:line="2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color w:val="auto"/>
        </w:rPr>
        <w:t>We have audited the accompanying combined financial statements of Effingham Hospitality Partners LLC, Effingham Hospitality Partners</w:t>
      </w:r>
    </w:p>
    <w:p>
      <w:pPr>
        <w:spacing w:after="0" w:line="33" w:lineRule="exact"/>
        <w:rPr>
          <w:sz w:val="20"/>
          <w:szCs w:val="20"/>
          <w:color w:val="auto"/>
        </w:rPr>
      </w:pPr>
    </w:p>
    <w:p>
      <w:pPr>
        <w:ind w:left="8" w:right="40" w:hanging="8"/>
        <w:spacing w:after="0" w:line="241" w:lineRule="auto"/>
        <w:tabs>
          <w:tab w:leader="none" w:pos="19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LLC, Paducah Hospitality Partners LLC, Paducah Hospitality Partners II LLC, Joplin Hospitality Partners II LLC, and Joplin Hospitality Partners III LLC (the "Company"), which comprise the combined balance sheet as of December 31, 2025, and the related combined statements of operations, of members' equity and of cash flows for the year then ended, including the related notes (collectively referred to as the "combined financial statements").</w:t>
      </w:r>
    </w:p>
    <w:p>
      <w:pPr>
        <w:spacing w:after="0" w:line="202" w:lineRule="exact"/>
        <w:rPr>
          <w:sz w:val="20"/>
          <w:szCs w:val="20"/>
          <w:color w:val="auto"/>
        </w:rPr>
      </w:pPr>
    </w:p>
    <w:p>
      <w:pPr>
        <w:ind w:left="8" w:right="700"/>
        <w:spacing w:after="0" w:line="254" w:lineRule="auto"/>
        <w:rPr>
          <w:sz w:val="20"/>
          <w:szCs w:val="20"/>
          <w:color w:val="auto"/>
        </w:rPr>
      </w:pPr>
      <w:r>
        <w:rPr>
          <w:rFonts w:ascii="Times New Roman" w:cs="Times New Roman" w:eastAsia="Times New Roman" w:hAnsi="Times New Roman"/>
          <w:sz w:val="20"/>
          <w:szCs w:val="20"/>
          <w:color w:val="auto"/>
        </w:rPr>
        <w:t>In our opinion, the accompanying combined financial statements present fairly, in all material respects, the financial position of the Company as of December 31, 2025, and the results of its operations and its cash flows for the year then ended in accordance with accounting principles generally accepted in the United States of America.</w:t>
      </w:r>
    </w:p>
    <w:p>
      <w:pPr>
        <w:spacing w:after="0" w:line="1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33" w:lineRule="exact"/>
        <w:rPr>
          <w:sz w:val="20"/>
          <w:szCs w:val="20"/>
          <w:color w:val="auto"/>
        </w:rPr>
      </w:pPr>
    </w:p>
    <w:p>
      <w:pPr>
        <w:ind w:left="8" w:right="300"/>
        <w:spacing w:after="0" w:line="246" w:lineRule="auto"/>
        <w:rPr>
          <w:sz w:val="20"/>
          <w:szCs w:val="20"/>
          <w:color w:val="auto"/>
        </w:rPr>
      </w:pPr>
      <w:r>
        <w:rPr>
          <w:rFonts w:ascii="Times New Roman" w:cs="Times New Roman" w:eastAsia="Times New Roman" w:hAnsi="Times New Roman"/>
          <w:sz w:val="20"/>
          <w:szCs w:val="20"/>
          <w:color w:val="auto"/>
        </w:rPr>
        <w:t>We conducted our audit in accordance with auditing standards generally accepted in the United States of America (US GAAS). Our responsibilities under those standards are further described in the Auditors' Responsibilities for the Audit of the Combined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Responsibilities of Management for the Combined Financial Statements</w:t>
      </w:r>
    </w:p>
    <w:p>
      <w:pPr>
        <w:spacing w:after="0" w:line="233" w:lineRule="exact"/>
        <w:rPr>
          <w:sz w:val="20"/>
          <w:szCs w:val="20"/>
          <w:color w:val="auto"/>
        </w:rPr>
      </w:pPr>
    </w:p>
    <w:p>
      <w:pPr>
        <w:ind w:left="8" w:right="140"/>
        <w:spacing w:after="0" w:line="245" w:lineRule="auto"/>
        <w:rPr>
          <w:sz w:val="20"/>
          <w:szCs w:val="20"/>
          <w:color w:val="auto"/>
        </w:rPr>
      </w:pPr>
      <w:r>
        <w:rPr>
          <w:rFonts w:ascii="Times New Roman" w:cs="Times New Roman" w:eastAsia="Times New Roman" w:hAnsi="Times New Roman"/>
          <w:sz w:val="20"/>
          <w:szCs w:val="20"/>
          <w:color w:val="auto"/>
        </w:rPr>
        <w:t>Management is responsible for the preparation and fair presentation of the combined financial statements in accordance with accounting principles generally accepted in the United States of America, and for the design, implementation, and maintenance of internal control relevant to the preparation and fair presentation of combined financial statements that are free from material misstatement, whether due to fraud or error.</w:t>
      </w:r>
    </w:p>
    <w:p>
      <w:pPr>
        <w:spacing w:after="0" w:line="1" w:lineRule="exact"/>
        <w:rPr>
          <w:sz w:val="20"/>
          <w:szCs w:val="20"/>
          <w:color w:val="auto"/>
        </w:rPr>
      </w:pPr>
    </w:p>
    <w:p>
      <w:pPr>
        <w:ind w:left="8" w:right="220"/>
        <w:spacing w:after="0" w:line="242" w:lineRule="auto"/>
        <w:rPr>
          <w:sz w:val="20"/>
          <w:szCs w:val="20"/>
          <w:color w:val="auto"/>
        </w:rPr>
      </w:pPr>
      <w:r>
        <w:rPr>
          <w:rFonts w:ascii="Times New Roman" w:cs="Times New Roman" w:eastAsia="Times New Roman" w:hAnsi="Times New Roman"/>
          <w:sz w:val="20"/>
          <w:szCs w:val="20"/>
          <w:color w:val="auto"/>
        </w:rPr>
        <w:t>In preparing the combined financial statements, management is required to evaluate whether there are conditions or events, considered in the aggregate, that raise substantial doubt about the Company's ability to continue as a going concern for one year after the date the combined financial statements are available to be issued.</w:t>
      </w:r>
    </w:p>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Auditors' Responsibilities for the Audit of the Combined Financial Statements</w:t>
      </w:r>
    </w:p>
    <w:p>
      <w:pPr>
        <w:spacing w:after="0" w:line="233" w:lineRule="exact"/>
        <w:rPr>
          <w:sz w:val="20"/>
          <w:szCs w:val="20"/>
          <w:color w:val="auto"/>
        </w:rPr>
      </w:pPr>
    </w:p>
    <w:p>
      <w:pPr>
        <w:ind w:left="8"/>
        <w:spacing w:after="0" w:line="244" w:lineRule="auto"/>
        <w:rPr>
          <w:sz w:val="20"/>
          <w:szCs w:val="20"/>
          <w:color w:val="auto"/>
        </w:rPr>
      </w:pPr>
      <w:r>
        <w:rPr>
          <w:rFonts w:ascii="Times New Roman" w:cs="Times New Roman" w:eastAsia="Times New Roman" w:hAnsi="Times New Roman"/>
          <w:sz w:val="20"/>
          <w:szCs w:val="20"/>
          <w:color w:val="auto"/>
        </w:rPr>
        <w:t>Our objectives are to obtain reasonable assurance about whether the combined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US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combined financial statements.</w:t>
      </w:r>
    </w:p>
    <w:p>
      <w:pPr>
        <w:spacing w:after="0" w:line="1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In performing an audit in accordance with US GAAS, we:</w:t>
      </w:r>
    </w:p>
    <w:p>
      <w:pPr>
        <w:spacing w:after="0" w:line="229" w:lineRule="exact"/>
        <w:rPr>
          <w:sz w:val="20"/>
          <w:szCs w:val="20"/>
          <w:color w:val="auto"/>
        </w:rPr>
      </w:pPr>
    </w:p>
    <w:p>
      <w:pPr>
        <w:ind w:left="888" w:hanging="317"/>
        <w:spacing w:after="0"/>
        <w:tabs>
          <w:tab w:leader="none" w:pos="88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color w:val="auto"/>
        </w:rPr>
        <w:t>Exercise professional judgment and maintain professional skepticism throughout the audit.</w:t>
      </w:r>
    </w:p>
    <w:p>
      <w:pPr>
        <w:spacing w:after="0" w:line="21" w:lineRule="exact"/>
        <w:rPr>
          <w:rFonts w:ascii="Times New Roman" w:cs="Times New Roman" w:eastAsia="Times New Roman" w:hAnsi="Times New Roman"/>
          <w:sz w:val="16"/>
          <w:szCs w:val="16"/>
          <w:color w:val="auto"/>
        </w:rPr>
      </w:pPr>
    </w:p>
    <w:p>
      <w:pPr>
        <w:ind w:left="888" w:right="240" w:hanging="317"/>
        <w:spacing w:after="0" w:line="239" w:lineRule="auto"/>
        <w:tabs>
          <w:tab w:leader="none" w:pos="88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color w:val="auto"/>
        </w:rPr>
        <w:t>Identify and assess the risks of material misstatement of the combined financial statements, whether due to fraud or error, and design and perform audit procedures responsive to those risks. Such procedures include examining, on a test basis, evidence regarding the amounts and disclosures in the combined financial statements.</w:t>
      </w:r>
    </w:p>
    <w:p>
      <w:pPr>
        <w:spacing w:after="0" w:line="1" w:lineRule="exact"/>
        <w:rPr>
          <w:rFonts w:ascii="Times New Roman" w:cs="Times New Roman" w:eastAsia="Times New Roman" w:hAnsi="Times New Roman"/>
          <w:sz w:val="16"/>
          <w:szCs w:val="16"/>
          <w:color w:val="auto"/>
        </w:rPr>
      </w:pPr>
    </w:p>
    <w:p>
      <w:pPr>
        <w:ind w:left="888" w:right="240" w:hanging="317"/>
        <w:spacing w:after="0" w:line="239" w:lineRule="auto"/>
        <w:tabs>
          <w:tab w:leader="none" w:pos="88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 w:lineRule="exact"/>
        <w:rPr>
          <w:rFonts w:ascii="Times New Roman" w:cs="Times New Roman" w:eastAsia="Times New Roman" w:hAnsi="Times New Roman"/>
          <w:sz w:val="16"/>
          <w:szCs w:val="16"/>
          <w:color w:val="auto"/>
        </w:rPr>
      </w:pPr>
    </w:p>
    <w:p>
      <w:pPr>
        <w:ind w:left="888" w:right="300" w:hanging="317"/>
        <w:spacing w:after="0" w:line="239" w:lineRule="auto"/>
        <w:tabs>
          <w:tab w:leader="none" w:pos="88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color w:val="auto"/>
        </w:rPr>
        <w:t>Evaluate the appropriateness of accounting policies used and the reasonableness of significant accounting estimates made by management, as well as evaluate the overall presentation of the combined financial statements.</w:t>
      </w:r>
    </w:p>
    <w:p>
      <w:pPr>
        <w:ind w:left="888" w:right="460" w:hanging="317"/>
        <w:spacing w:after="0" w:line="246" w:lineRule="auto"/>
        <w:tabs>
          <w:tab w:leader="none" w:pos="88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color w:val="auto"/>
        </w:rPr>
        <w:t>Conclude whether, in our judgment, there are conditions or events, considered in the aggregate, that raise substantial doubt about the Company's ability to continue as a going concern for a reasonable period of time.</w:t>
      </w:r>
    </w:p>
    <w:p>
      <w:pPr>
        <w:spacing w:after="0" w:line="195" w:lineRule="exact"/>
        <w:rPr>
          <w:sz w:val="20"/>
          <w:szCs w:val="20"/>
          <w:color w:val="auto"/>
        </w:rPr>
      </w:pPr>
    </w:p>
    <w:p>
      <w:pPr>
        <w:ind w:left="8" w:right="140"/>
        <w:spacing w:after="0" w:line="269" w:lineRule="auto"/>
        <w:rPr>
          <w:sz w:val="20"/>
          <w:szCs w:val="20"/>
          <w:color w:val="auto"/>
        </w:rPr>
      </w:pPr>
      <w:r>
        <w:rPr>
          <w:rFonts w:ascii="Times New Roman" w:cs="Times New Roman" w:eastAsia="Times New Roman" w:hAnsi="Times New Roman"/>
          <w:sz w:val="20"/>
          <w:szCs w:val="20"/>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200" w:lineRule="exact"/>
        <w:rPr>
          <w:sz w:val="20"/>
          <w:szCs w:val="20"/>
          <w:color w:val="auto"/>
        </w:rPr>
      </w:pPr>
    </w:p>
    <w:p>
      <w:pPr>
        <w:spacing w:after="0" w:line="202" w:lineRule="exact"/>
        <w:rPr>
          <w:sz w:val="20"/>
          <w:szCs w:val="20"/>
          <w:color w:val="auto"/>
        </w:rPr>
      </w:pPr>
    </w:p>
    <w:p>
      <w:pPr>
        <w:ind w:left="28"/>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1" w:lineRule="exact"/>
        <w:rPr>
          <w:sz w:val="20"/>
          <w:szCs w:val="20"/>
          <w:color w:val="auto"/>
        </w:rPr>
      </w:pPr>
    </w:p>
    <w:p>
      <w:pPr>
        <w:ind w:left="28"/>
        <w:spacing w:after="0"/>
        <w:rPr>
          <w:sz w:val="20"/>
          <w:szCs w:val="20"/>
          <w:color w:val="auto"/>
        </w:rPr>
      </w:pPr>
      <w:r>
        <w:rPr>
          <w:rFonts w:ascii="Times New Roman" w:cs="Times New Roman" w:eastAsia="Times New Roman" w:hAnsi="Times New Roman"/>
          <w:sz w:val="20"/>
          <w:szCs w:val="20"/>
          <w:color w:val="auto"/>
        </w:rPr>
        <w:t>Miami, Florida</w:t>
      </w:r>
    </w:p>
    <w:p>
      <w:pPr>
        <w:ind w:left="8"/>
        <w:spacing w:after="0"/>
        <w:rPr>
          <w:sz w:val="20"/>
          <w:szCs w:val="20"/>
          <w:color w:val="auto"/>
        </w:rPr>
      </w:pPr>
      <w:r>
        <w:rPr>
          <w:rFonts w:ascii="Times New Roman" w:cs="Times New Roman" w:eastAsia="Times New Roman" w:hAnsi="Times New Roman"/>
          <w:sz w:val="20"/>
          <w:szCs w:val="20"/>
          <w:color w:val="auto"/>
        </w:rPr>
        <w:t>May 6, 2026</w:t>
      </w:r>
    </w:p>
    <w:p>
      <w:pPr>
        <w:spacing w:after="0" w:line="202"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79375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8"/>
          </w:cols>
          <w:pgMar w:left="472" w:top="815" w:right="35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5220" w:type="dxa"/>
            <w:vAlign w:val="bottom"/>
            <w:gridSpan w:val="2"/>
          </w:tcPr>
          <w:p>
            <w:pPr>
              <w:jc w:val="right"/>
              <w:ind w:right="2180"/>
              <w:spacing w:after="0"/>
              <w:rPr>
                <w:sz w:val="20"/>
                <w:szCs w:val="20"/>
                <w:color w:val="auto"/>
              </w:rPr>
            </w:pPr>
            <w:r>
              <w:rPr>
                <w:rFonts w:ascii="Times New Roman" w:cs="Times New Roman" w:eastAsia="Times New Roman" w:hAnsi="Times New Roman"/>
                <w:sz w:val="20"/>
                <w:szCs w:val="20"/>
                <w:b w:val="1"/>
                <w:bCs w:val="1"/>
                <w:color w:val="auto"/>
              </w:rPr>
              <w:t>MIDWEST HOTEL PORTFOLIO</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220" w:type="dxa"/>
            <w:vAlign w:val="bottom"/>
            <w:gridSpan w:val="2"/>
          </w:tcPr>
          <w:p>
            <w:pPr>
              <w:jc w:val="right"/>
              <w:ind w:right="2600"/>
              <w:spacing w:after="0"/>
              <w:rPr>
                <w:sz w:val="20"/>
                <w:szCs w:val="20"/>
                <w:color w:val="auto"/>
              </w:rPr>
            </w:pPr>
            <w:r>
              <w:rPr>
                <w:rFonts w:ascii="Times New Roman" w:cs="Times New Roman" w:eastAsia="Times New Roman" w:hAnsi="Times New Roman"/>
                <w:sz w:val="20"/>
                <w:szCs w:val="20"/>
                <w:b w:val="1"/>
                <w:bCs w:val="1"/>
                <w:color w:val="auto"/>
              </w:rPr>
              <w:t>Combined Balance Sheet</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5220" w:type="dxa"/>
            <w:vAlign w:val="bottom"/>
            <w:gridSpan w:val="2"/>
          </w:tcPr>
          <w:p>
            <w:pPr>
              <w:jc w:val="right"/>
              <w:ind w:right="3160"/>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Assets:</w:t>
            </w:r>
          </w:p>
        </w:tc>
        <w:tc>
          <w:tcPr>
            <w:tcW w:w="5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Investment in hotel properties, net</w:t>
            </w:r>
          </w:p>
        </w:tc>
        <w:tc>
          <w:tcPr>
            <w:tcW w:w="5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5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Hotel receivables</w:t>
            </w:r>
          </w:p>
        </w:tc>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5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Goodwill</w:t>
            </w:r>
          </w:p>
        </w:tc>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Deferred costs, net</w:t>
            </w:r>
          </w:p>
        </w:tc>
        <w:tc>
          <w:tcPr>
            <w:tcW w:w="5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ind w:left="480"/>
              <w:spacing w:after="0" w:line="223" w:lineRule="exact"/>
              <w:rPr>
                <w:sz w:val="20"/>
                <w:szCs w:val="20"/>
                <w:color w:val="auto"/>
              </w:rPr>
            </w:pPr>
            <w:r>
              <w:rPr>
                <w:rFonts w:ascii="Times New Roman" w:cs="Times New Roman" w:eastAsia="Times New Roman" w:hAnsi="Times New Roman"/>
                <w:sz w:val="20"/>
                <w:szCs w:val="20"/>
                <w:color w:val="auto"/>
              </w:rPr>
              <w:t>Total assets</w:t>
            </w:r>
          </w:p>
        </w:tc>
        <w:tc>
          <w:tcPr>
            <w:tcW w:w="522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69,656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 and Members' Equity:</w:t>
            </w:r>
          </w:p>
        </w:tc>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Mortgage debt, net</w:t>
            </w:r>
          </w:p>
        </w:tc>
        <w:tc>
          <w:tcPr>
            <w:tcW w:w="5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42,576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5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Total liabilities</w:t>
            </w:r>
          </w:p>
        </w:tc>
        <w:tc>
          <w:tcPr>
            <w:tcW w:w="5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44,076</w:t>
            </w: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19"/>
                <w:szCs w:val="19"/>
                <w:color w:val="auto"/>
              </w:rPr>
            </w:pPr>
          </w:p>
        </w:tc>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Members' Equity</w:t>
            </w:r>
          </w:p>
        </w:tc>
        <w:tc>
          <w:tcPr>
            <w:tcW w:w="5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25,580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liabilities and members' equity</w:t>
            </w:r>
          </w:p>
        </w:tc>
        <w:tc>
          <w:tcPr>
            <w:tcW w:w="5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combined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79375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880" w:top="815" w:right="8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7440" w:type="dxa"/>
            <w:vAlign w:val="bottom"/>
          </w:tcPr>
          <w:p>
            <w:pPr>
              <w:ind w:left="3640"/>
              <w:spacing w:after="0"/>
              <w:rPr>
                <w:sz w:val="20"/>
                <w:szCs w:val="20"/>
                <w:color w:val="auto"/>
              </w:rPr>
            </w:pPr>
            <w:r>
              <w:rPr>
                <w:rFonts w:ascii="Times New Roman" w:cs="Times New Roman" w:eastAsia="Times New Roman" w:hAnsi="Times New Roman"/>
                <w:sz w:val="20"/>
                <w:szCs w:val="20"/>
                <w:b w:val="1"/>
                <w:bCs w:val="1"/>
                <w:color w:val="auto"/>
              </w:rPr>
              <w:t>MIDWEST HOTEL PORTFOLIO</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440" w:type="dxa"/>
            <w:vAlign w:val="bottom"/>
          </w:tcPr>
          <w:p>
            <w:pPr>
              <w:ind w:left="3620"/>
              <w:spacing w:after="0"/>
              <w:rPr>
                <w:sz w:val="20"/>
                <w:szCs w:val="20"/>
                <w:color w:val="auto"/>
              </w:rPr>
            </w:pPr>
            <w:r>
              <w:rPr>
                <w:rFonts w:ascii="Times New Roman" w:cs="Times New Roman" w:eastAsia="Times New Roman" w:hAnsi="Times New Roman"/>
                <w:sz w:val="20"/>
                <w:szCs w:val="20"/>
                <w:b w:val="1"/>
                <w:bCs w:val="1"/>
                <w:color w:val="auto"/>
              </w:rPr>
              <w:t>Combined Statement of Operations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40" w:type="dxa"/>
            <w:vAlign w:val="bottom"/>
          </w:tcPr>
          <w:p>
            <w:pPr>
              <w:ind w:left="4460"/>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jc w:val="right"/>
              <w:ind w:right="24"/>
              <w:spacing w:after="0"/>
              <w:rPr>
                <w:sz w:val="20"/>
                <w:szCs w:val="20"/>
                <w:color w:val="auto"/>
              </w:rPr>
            </w:pPr>
            <w:r>
              <w:rPr>
                <w:rFonts w:ascii="Times New Roman" w:cs="Times New Roman" w:eastAsia="Times New Roman" w:hAnsi="Times New Roman"/>
                <w:sz w:val="20"/>
                <w:szCs w:val="20"/>
                <w:b w:val="1"/>
                <w:bCs w:val="1"/>
                <w:color w:val="auto"/>
                <w:w w:val="97"/>
              </w:rPr>
              <w:t>For the year ended</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b w:val="1"/>
                <w:bCs w:val="1"/>
                <w:color w:val="auto"/>
                <w:w w:val="97"/>
              </w:rPr>
              <w:t>December 31, 2025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Revenue:</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Room</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24,842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Other</w:t>
            </w: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320"/>
              <w:spacing w:after="0" w:line="223" w:lineRule="exact"/>
              <w:rPr>
                <w:sz w:val="20"/>
                <w:szCs w:val="20"/>
                <w:color w:val="auto"/>
              </w:rPr>
            </w:pPr>
            <w:r>
              <w:rPr>
                <w:rFonts w:ascii="Times New Roman" w:cs="Times New Roman" w:eastAsia="Times New Roman" w:hAnsi="Times New Roman"/>
                <w:sz w:val="20"/>
                <w:szCs w:val="20"/>
                <w:color w:val="auto"/>
              </w:rPr>
              <w:t>Total revenue</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4"/>
              <w:spacing w:after="0" w:line="223" w:lineRule="exact"/>
              <w:rPr>
                <w:sz w:val="20"/>
                <w:szCs w:val="20"/>
                <w:color w:val="auto"/>
              </w:rPr>
            </w:pPr>
            <w:r>
              <w:rPr>
                <w:rFonts w:ascii="Times New Roman" w:cs="Times New Roman" w:eastAsia="Times New Roman" w:hAnsi="Times New Roman"/>
                <w:sz w:val="20"/>
                <w:szCs w:val="20"/>
                <w:color w:val="auto"/>
              </w:rPr>
              <w:t>25,282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Hotel operating expenses: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Room</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5,122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Food and beverage</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Telephone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Other hotel operating</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2,576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Franchise and marketing fees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2,920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Advertising and promotions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Utilities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Repairs and maintenance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852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Management fees</w:t>
            </w: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1,517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320"/>
              <w:spacing w:after="0" w:line="223" w:lineRule="exact"/>
              <w:rPr>
                <w:sz w:val="20"/>
                <w:szCs w:val="20"/>
                <w:color w:val="auto"/>
              </w:rPr>
            </w:pPr>
            <w:r>
              <w:rPr>
                <w:rFonts w:ascii="Times New Roman" w:cs="Times New Roman" w:eastAsia="Times New Roman" w:hAnsi="Times New Roman"/>
                <w:sz w:val="20"/>
                <w:szCs w:val="20"/>
                <w:color w:val="auto"/>
              </w:rPr>
              <w:t>Total hotel operating expenses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4"/>
              <w:spacing w:after="0" w:line="223" w:lineRule="exact"/>
              <w:rPr>
                <w:sz w:val="20"/>
                <w:szCs w:val="20"/>
                <w:color w:val="auto"/>
              </w:rPr>
            </w:pPr>
            <w:r>
              <w:rPr>
                <w:rFonts w:ascii="Times New Roman" w:cs="Times New Roman" w:eastAsia="Times New Roman" w:hAnsi="Times New Roman"/>
                <w:sz w:val="20"/>
                <w:szCs w:val="20"/>
                <w:color w:val="auto"/>
              </w:rPr>
              <w:t>14,722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2,459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Property taxes and insurance</w:t>
            </w: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1,060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320"/>
              <w:spacing w:after="0" w:line="223" w:lineRule="exact"/>
              <w:rPr>
                <w:sz w:val="20"/>
                <w:szCs w:val="20"/>
                <w:color w:val="auto"/>
              </w:rPr>
            </w:pPr>
            <w:r>
              <w:rPr>
                <w:rFonts w:ascii="Times New Roman" w:cs="Times New Roman" w:eastAsia="Times New Roman" w:hAnsi="Times New Roman"/>
                <w:sz w:val="20"/>
                <w:szCs w:val="20"/>
                <w:color w:val="auto"/>
              </w:rPr>
              <w:t>Total operating expenses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4"/>
              <w:spacing w:after="0" w:line="223" w:lineRule="exact"/>
              <w:rPr>
                <w:sz w:val="20"/>
                <w:szCs w:val="20"/>
                <w:color w:val="auto"/>
              </w:rPr>
            </w:pPr>
            <w:r>
              <w:rPr>
                <w:rFonts w:ascii="Times New Roman" w:cs="Times New Roman" w:eastAsia="Times New Roman" w:hAnsi="Times New Roman"/>
                <w:sz w:val="20"/>
                <w:szCs w:val="20"/>
                <w:color w:val="auto"/>
              </w:rPr>
              <w:t>18,241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7,041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Interest and other income</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508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Interest expense, including amortization of deferred financing fees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spacing w:after="0" w:line="17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jc w:val="right"/>
              <w:ind w:right="4"/>
              <w:spacing w:after="0" w:line="68" w:lineRule="exact"/>
              <w:rPr>
                <w:sz w:val="20"/>
                <w:szCs w:val="20"/>
                <w:color w:val="auto"/>
              </w:rPr>
            </w:pPr>
            <w:r>
              <w:rPr>
                <w:rFonts w:ascii="Times New Roman" w:cs="Times New Roman" w:eastAsia="Times New Roman" w:hAnsi="Times New Roman"/>
                <w:sz w:val="7"/>
                <w:szCs w:val="7"/>
                <w:color w:val="auto"/>
              </w:rPr>
              <w:t>(1,690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Income before income tax expense</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4"/>
              <w:spacing w:after="0" w:line="223" w:lineRule="exact"/>
              <w:rPr>
                <w:sz w:val="20"/>
                <w:szCs w:val="20"/>
                <w:color w:val="auto"/>
              </w:rPr>
            </w:pPr>
            <w:r>
              <w:rPr>
                <w:rFonts w:ascii="Times New Roman" w:cs="Times New Roman" w:eastAsia="Times New Roman" w:hAnsi="Times New Roman"/>
                <w:sz w:val="20"/>
                <w:szCs w:val="20"/>
                <w:color w:val="auto"/>
              </w:rPr>
              <w:t>5,859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Income tax expense</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income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20"/>
                <w:szCs w:val="20"/>
                <w:color w:val="auto"/>
              </w:rPr>
              <w:t>5,834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combined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79375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880" w:top="815" w:right="899" w:bottom="1440" w:gutter="0" w:footer="0" w:header="0"/>
        </w:sectPr>
      </w:pPr>
    </w:p>
    <w:bookmarkStart w:id="9" w:name="page10"/>
    <w:bookmarkEnd w:id="9"/>
    <w:p>
      <w:pPr>
        <w:jc w:val="center"/>
        <w:ind w:left="2880"/>
        <w:spacing w:after="0"/>
        <w:rPr>
          <w:sz w:val="20"/>
          <w:szCs w:val="20"/>
          <w:color w:val="auto"/>
        </w:rPr>
      </w:pPr>
      <w:r>
        <w:rPr>
          <w:rFonts w:ascii="Times New Roman" w:cs="Times New Roman" w:eastAsia="Times New Roman" w:hAnsi="Times New Roman"/>
          <w:sz w:val="20"/>
          <w:szCs w:val="20"/>
          <w:b w:val="1"/>
          <w:bCs w:val="1"/>
          <w:color w:val="auto"/>
        </w:rPr>
        <w:t>MIDWEST HOTEL PORTFOLIO</w:t>
      </w:r>
    </w:p>
    <w:p>
      <w:pPr>
        <w:spacing w:after="0" w:line="229"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Combined Statement of Members' Equity</w:t>
      </w:r>
    </w:p>
    <w:p>
      <w:pPr>
        <w:spacing w:after="0" w:line="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291465</wp:posOffset>
            </wp:positionV>
            <wp:extent cx="64122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1714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December 31, 2024</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Contributions from members</w:t>
      </w:r>
    </w:p>
    <w:p>
      <w:pPr>
        <w:ind w:left="340"/>
        <w:spacing w:after="0"/>
        <w:rPr>
          <w:sz w:val="20"/>
          <w:szCs w:val="20"/>
          <w:color w:val="auto"/>
        </w:rPr>
      </w:pPr>
      <w:r>
        <w:rPr>
          <w:rFonts w:ascii="Times New Roman" w:cs="Times New Roman" w:eastAsia="Times New Roman" w:hAnsi="Times New Roman"/>
          <w:sz w:val="20"/>
          <w:szCs w:val="20"/>
          <w:color w:val="auto"/>
        </w:rPr>
        <w:t>Distributions to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-144780</wp:posOffset>
            </wp:positionV>
            <wp:extent cx="641223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20"/>
          <w:szCs w:val="20"/>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4445</wp:posOffset>
            </wp:positionV>
            <wp:extent cx="641223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9748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340" w:hanging="1337"/>
        <w:spacing w:after="0"/>
        <w:tabs>
          <w:tab w:leader="none" w:pos="13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21,649</w:t>
      </w:r>
    </w:p>
    <w:p>
      <w:pPr>
        <w:spacing w:after="0" w:line="4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245</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(2,148)</w:t>
      </w:r>
    </w:p>
    <w:p>
      <w:pPr>
        <w:ind w:left="1440"/>
        <w:spacing w:after="0"/>
        <w:rPr>
          <w:sz w:val="20"/>
          <w:szCs w:val="20"/>
          <w:color w:val="auto"/>
        </w:rPr>
      </w:pPr>
      <w:r>
        <w:rPr>
          <w:rFonts w:ascii="Times New Roman" w:cs="Times New Roman" w:eastAsia="Times New Roman" w:hAnsi="Times New Roman"/>
          <w:sz w:val="20"/>
          <w:szCs w:val="20"/>
          <w:color w:val="auto"/>
        </w:rPr>
        <w:t>5,834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2604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12" w:lineRule="exact"/>
        <w:rPr>
          <w:sz w:val="20"/>
          <w:szCs w:val="20"/>
          <w:color w:val="auto"/>
        </w:rPr>
      </w:pPr>
    </w:p>
    <w:p>
      <w:pPr>
        <w:ind w:left="1340" w:hanging="1337"/>
        <w:spacing w:after="0"/>
        <w:tabs>
          <w:tab w:leader="none" w:pos="13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25,580</w:t>
      </w:r>
    </w:p>
    <w:p>
      <w:pPr>
        <w:spacing w:after="0" w:line="236" w:lineRule="exact"/>
        <w:rPr>
          <w:sz w:val="20"/>
          <w:szCs w:val="20"/>
          <w:color w:val="auto"/>
        </w:rPr>
      </w:pPr>
    </w:p>
    <w:p>
      <w:pPr>
        <w:sectPr>
          <w:pgSz w:w="11900" w:h="16838" w:orient="portrait"/>
          <w:cols w:equalWidth="0" w:num="2">
            <w:col w:w="7400" w:space="720"/>
            <w:col w:w="1960"/>
          </w:cols>
          <w:pgMar w:left="880" w:top="585" w:right="939" w:bottom="1440" w:gutter="0" w:footer="0" w:header="0"/>
        </w:sectPr>
      </w:pPr>
    </w:p>
    <w:p>
      <w:pPr>
        <w:spacing w:after="0" w:line="2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combined financial statements.</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79375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880" w:top="585" w:right="939" w:bottom="1440" w:gutter="0" w:footer="0" w:header="0"/>
          <w:type w:val="continuous"/>
        </w:sectPr>
      </w:pPr>
    </w:p>
    <w:bookmarkStart w:id="10" w:name="page11"/>
    <w:bookmarkEnd w:id="10"/>
    <w:p>
      <w:pPr>
        <w:ind w:left="3660"/>
        <w:spacing w:after="0"/>
        <w:rPr>
          <w:sz w:val="20"/>
          <w:szCs w:val="20"/>
          <w:color w:val="auto"/>
        </w:rPr>
      </w:pPr>
      <w:r>
        <w:rPr>
          <w:rFonts w:ascii="Times New Roman" w:cs="Times New Roman" w:eastAsia="Times New Roman" w:hAnsi="Times New Roman"/>
          <w:sz w:val="20"/>
          <w:szCs w:val="20"/>
          <w:b w:val="1"/>
          <w:bCs w:val="1"/>
          <w:color w:val="auto"/>
        </w:rPr>
        <w:t>MIDWEST HOTEL PORTFOLIO</w:t>
      </w:r>
    </w:p>
    <w:p>
      <w:pPr>
        <w:spacing w:after="0" w:line="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Combined Statement of Cash Flows</w:t>
      </w:r>
    </w:p>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7500" w:type="dxa"/>
            <w:vAlign w:val="bottom"/>
          </w:tcPr>
          <w:p>
            <w:pPr>
              <w:ind w:left="4460"/>
              <w:spacing w:after="0"/>
              <w:rPr>
                <w:sz w:val="20"/>
                <w:szCs w:val="20"/>
                <w:color w:val="auto"/>
              </w:rPr>
            </w:pPr>
            <w:r>
              <w:rPr>
                <w:rFonts w:ascii="Times New Roman" w:cs="Times New Roman" w:eastAsia="Times New Roman" w:hAnsi="Times New Roman"/>
                <w:sz w:val="20"/>
                <w:szCs w:val="20"/>
                <w:i w:val="1"/>
                <w:iCs w:val="1"/>
                <w:color w:val="auto"/>
              </w:rPr>
              <w:t>(In thousands)</w:t>
            </w: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gridSpan w:val="2"/>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center"/>
              <w:ind w:right="181"/>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Net income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Adjustments to reconcile net income to net cash provided by operating activities: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Depreciation of investment in hotel properties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20"/>
                <w:szCs w:val="20"/>
                <w:color w:val="auto"/>
              </w:rPr>
              <w:t>Amortization of deferred franchise fees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Amortization of deferred financing fees included in interest expense</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Changes in assets and liabilities: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Hotel receivables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shd w:val="clear" w:color="auto" w:fill="CCEEFF"/>
          </w:tcPr>
          <w:p>
            <w:pPr>
              <w:ind w:left="800"/>
              <w:spacing w:after="0" w:line="223" w:lineRule="exact"/>
              <w:rPr>
                <w:sz w:val="20"/>
                <w:szCs w:val="20"/>
                <w:color w:val="auto"/>
              </w:rPr>
            </w:pPr>
            <w:r>
              <w:rPr>
                <w:rFonts w:ascii="Times New Roman" w:cs="Times New Roman" w:eastAsia="Times New Roman" w:hAnsi="Times New Roman"/>
                <w:sz w:val="20"/>
                <w:szCs w:val="20"/>
                <w:b w:val="1"/>
                <w:bCs w:val="1"/>
                <w:color w:val="auto"/>
              </w:rPr>
              <w:t>Net cash provided by operating activities</w:t>
            </w:r>
          </w:p>
        </w:tc>
        <w:tc>
          <w:tcPr>
            <w:tcW w:w="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Times New Roman" w:cs="Times New Roman" w:eastAsia="Times New Roman" w:hAnsi="Times New Roman"/>
                <w:sz w:val="20"/>
                <w:szCs w:val="20"/>
                <w:b w:val="1"/>
                <w:bCs w:val="1"/>
                <w:color w:val="auto"/>
              </w:rPr>
              <w:t>7,302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Improvements and additions to hotel properties</w:t>
            </w:r>
          </w:p>
        </w:tc>
        <w:tc>
          <w:tcPr>
            <w:tcW w:w="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EEFF"/>
            </w:tcBorders>
          </w:tcPr>
          <w:p>
            <w:pPr>
              <w:ind w:left="800"/>
              <w:spacing w:after="0" w:line="223" w:lineRule="exact"/>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Borrowings on mortgage debt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Payments on mortgage debt</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Contributions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Distributions</w:t>
            </w:r>
          </w:p>
        </w:tc>
        <w:tc>
          <w:tcPr>
            <w:tcW w:w="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EEFF"/>
            </w:tcBorders>
          </w:tcPr>
          <w:p>
            <w:pPr>
              <w:ind w:left="800"/>
              <w:spacing w:after="0" w:line="223" w:lineRule="exact"/>
              <w:rPr>
                <w:sz w:val="20"/>
                <w:szCs w:val="20"/>
                <w:color w:val="auto"/>
              </w:rPr>
            </w:pPr>
            <w:r>
              <w:rPr>
                <w:rFonts w:ascii="Times New Roman" w:cs="Times New Roman" w:eastAsia="Times New Roman" w:hAnsi="Times New Roman"/>
                <w:sz w:val="20"/>
                <w:szCs w:val="20"/>
                <w:b w:val="1"/>
                <w:bCs w:val="1"/>
                <w:color w:val="auto"/>
              </w:rPr>
              <w:t>Net cash used in financing activities</w:t>
            </w: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(3,201)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Net change in cash and cash equivalents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3,909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Cash and cash equivalents, beginning of period</w:t>
            </w: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12,359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Cash and cash equivalents, end of period</w:t>
            </w:r>
          </w:p>
        </w:tc>
        <w:tc>
          <w:tcPr>
            <w:tcW w:w="7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64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16,268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Supplemental disclosure of cash flow information:</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interest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Cash paid for taxes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combined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79375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880" w:top="585" w:right="899" w:bottom="1440" w:gutter="0" w:footer="0" w:header="0"/>
        </w:sectPr>
      </w:pPr>
    </w:p>
    <w:bookmarkStart w:id="11" w:name="page12"/>
    <w:bookmarkEnd w:id="11"/>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MIDWEST HOTEL PORTFOLIO</w:t>
      </w:r>
    </w:p>
    <w:p>
      <w:pPr>
        <w:spacing w:after="0" w:line="25" w:lineRule="exact"/>
        <w:rPr>
          <w:sz w:val="20"/>
          <w:szCs w:val="20"/>
          <w:color w:val="auto"/>
        </w:rPr>
      </w:pPr>
    </w:p>
    <w:p>
      <w:pPr>
        <w:ind w:left="3668"/>
        <w:spacing w:after="0"/>
        <w:rPr>
          <w:sz w:val="20"/>
          <w:szCs w:val="20"/>
          <w:color w:val="auto"/>
        </w:rPr>
      </w:pPr>
      <w:r>
        <w:rPr>
          <w:rFonts w:ascii="Times New Roman" w:cs="Times New Roman" w:eastAsia="Times New Roman" w:hAnsi="Times New Roman"/>
          <w:sz w:val="20"/>
          <w:szCs w:val="20"/>
          <w:b w:val="1"/>
          <w:bCs w:val="1"/>
          <w:color w:val="auto"/>
        </w:rPr>
        <w:t>Notes to the Combined Financial Statements</w:t>
      </w:r>
    </w:p>
    <w:p>
      <w:pPr>
        <w:ind w:left="4888"/>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03" w:lineRule="exact"/>
        <w:rPr>
          <w:sz w:val="20"/>
          <w:szCs w:val="20"/>
          <w:color w:val="auto"/>
        </w:rPr>
      </w:pPr>
    </w:p>
    <w:p>
      <w:pPr>
        <w:ind w:left="728" w:hanging="319"/>
        <w:spacing w:after="0"/>
        <w:tabs>
          <w:tab w:leader="none" w:pos="7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Organization</w:t>
      </w:r>
    </w:p>
    <w:p>
      <w:pPr>
        <w:spacing w:after="0" w:line="233" w:lineRule="exact"/>
        <w:rPr>
          <w:sz w:val="20"/>
          <w:szCs w:val="20"/>
          <w:color w:val="auto"/>
        </w:rPr>
      </w:pPr>
    </w:p>
    <w:p>
      <w:pPr>
        <w:ind w:left="8" w:firstLine="594"/>
        <w:spacing w:after="0" w:line="260" w:lineRule="auto"/>
        <w:rPr>
          <w:sz w:val="20"/>
          <w:szCs w:val="20"/>
          <w:color w:val="auto"/>
        </w:rPr>
      </w:pPr>
      <w:r>
        <w:rPr>
          <w:rFonts w:ascii="Times New Roman" w:cs="Times New Roman" w:eastAsia="Times New Roman" w:hAnsi="Times New Roman"/>
          <w:sz w:val="19"/>
          <w:szCs w:val="19"/>
          <w:color w:val="auto"/>
        </w:rPr>
        <w:t>These combined financial statements of the Midwest Hotel Portfolio ("the Company"), which is not a legal entity, but rather includes all of the combined accounts and operations of Effingham Hospitality Partners LLC, Effingham Hospitality Partners II LLC, Paducah Hospitality Partners LLC, Paducah Hospitality Partners II LLC, Joplin Hospitality Partners II LLC, and Joplin Hospitality Partners</w:t>
      </w:r>
    </w:p>
    <w:p>
      <w:pPr>
        <w:ind w:left="8" w:right="360" w:hanging="8"/>
        <w:spacing w:after="0" w:line="241" w:lineRule="auto"/>
        <w:tabs>
          <w:tab w:leader="none" w:pos="25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LLC. These entities have been combined and presented together as they have common management and a high degree of common ownership. On December 31, 2025, the Company consisted of the combined operations of six hotel properties with an aggregate of 589 rooms. The hotel properties operate under the following brands: Hampton Inn &amp; Suites (two hotel properties), Home2 Suites by Hilton (two hotel properties), and Homewood Suites by Hilton (two hotel properties).</w:t>
      </w:r>
    </w:p>
    <w:p>
      <w:pPr>
        <w:spacing w:after="0" w:line="197" w:lineRule="exact"/>
        <w:rPr>
          <w:rFonts w:ascii="Times New Roman" w:cs="Times New Roman" w:eastAsia="Times New Roman" w:hAnsi="Times New Roman"/>
          <w:sz w:val="20"/>
          <w:szCs w:val="20"/>
          <w:color w:val="auto"/>
        </w:rPr>
      </w:pPr>
    </w:p>
    <w:p>
      <w:pPr>
        <w:ind w:left="728" w:hanging="319"/>
        <w:spacing w:after="0"/>
        <w:tabs>
          <w:tab w:leader="none" w:pos="728"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Summary of Significant Accounting Policies</w:t>
      </w:r>
    </w:p>
    <w:p>
      <w:pPr>
        <w:spacing w:after="0" w:line="229"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20"/>
          <w:szCs w:val="20"/>
          <w:i w:val="1"/>
          <w:iCs w:val="1"/>
          <w:color w:val="auto"/>
        </w:rPr>
        <w:t>Basis of presentation</w:t>
      </w:r>
    </w:p>
    <w:p>
      <w:pPr>
        <w:spacing w:after="0" w:line="233" w:lineRule="exact"/>
        <w:rPr>
          <w:sz w:val="20"/>
          <w:szCs w:val="20"/>
          <w:color w:val="auto"/>
        </w:rPr>
      </w:pPr>
    </w:p>
    <w:p>
      <w:pPr>
        <w:ind w:left="8" w:right="40" w:firstLine="702"/>
        <w:spacing w:after="0" w:line="254" w:lineRule="auto"/>
        <w:rPr>
          <w:sz w:val="20"/>
          <w:szCs w:val="20"/>
          <w:color w:val="auto"/>
        </w:rPr>
      </w:pPr>
      <w:r>
        <w:rPr>
          <w:rFonts w:ascii="Times New Roman" w:cs="Times New Roman" w:eastAsia="Times New Roman" w:hAnsi="Times New Roman"/>
          <w:sz w:val="20"/>
          <w:szCs w:val="20"/>
          <w:color w:val="auto"/>
        </w:rPr>
        <w:t>These combined financial statements and related notes have been prepared in accordance with accounting principles generally accepted in the United States of America ("GAAP") for the purpose of complying with Rule 3-05 of Regulation S-X promulgated under the Securities Act of 1933, as amended. All intercompany balances and transactions have been eliminated in combination.</w:t>
      </w:r>
    </w:p>
    <w:p>
      <w:pPr>
        <w:spacing w:after="0" w:line="184"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20"/>
          <w:szCs w:val="20"/>
          <w:i w:val="1"/>
          <w:iCs w:val="1"/>
          <w:color w:val="auto"/>
        </w:rPr>
        <w:t>Use of estimates</w:t>
      </w:r>
    </w:p>
    <w:p>
      <w:pPr>
        <w:spacing w:after="0" w:line="233" w:lineRule="exact"/>
        <w:rPr>
          <w:sz w:val="20"/>
          <w:szCs w:val="20"/>
          <w:color w:val="auto"/>
        </w:rPr>
      </w:pPr>
    </w:p>
    <w:p>
      <w:pPr>
        <w:ind w:left="8" w:right="200" w:firstLine="702"/>
        <w:spacing w:after="0" w:line="274" w:lineRule="auto"/>
        <w:rPr>
          <w:sz w:val="20"/>
          <w:szCs w:val="20"/>
          <w:color w:val="auto"/>
        </w:rPr>
      </w:pPr>
      <w:r>
        <w:rPr>
          <w:rFonts w:ascii="Times New Roman" w:cs="Times New Roman" w:eastAsia="Times New Roman" w:hAnsi="Times New Roman"/>
          <w:sz w:val="19"/>
          <w:szCs w:val="19"/>
          <w:color w:val="auto"/>
        </w:rPr>
        <w:t>The preparation of combined financial statements in conformity with GAAP requires management to make estimates and assumptions that affect the reported amounts of assets and liabilities and disclosure of contingent assets and liabilities at the balance sheet date and the reported amounts of revenues and expenses during the reporting period. Actual results could differ from those estimates.</w:t>
      </w:r>
    </w:p>
    <w:p>
      <w:pPr>
        <w:spacing w:after="0" w:line="166"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20"/>
          <w:szCs w:val="20"/>
          <w:i w:val="1"/>
          <w:iCs w:val="1"/>
          <w:color w:val="auto"/>
        </w:rPr>
        <w:t>Fair Value of Financial Instruments</w:t>
      </w:r>
    </w:p>
    <w:p>
      <w:pPr>
        <w:spacing w:after="0" w:line="233" w:lineRule="exact"/>
        <w:rPr>
          <w:sz w:val="20"/>
          <w:szCs w:val="20"/>
          <w:color w:val="auto"/>
        </w:rPr>
      </w:pPr>
    </w:p>
    <w:p>
      <w:pPr>
        <w:ind w:left="8" w:right="60" w:firstLine="702"/>
        <w:spacing w:after="0" w:line="246" w:lineRule="auto"/>
        <w:rPr>
          <w:sz w:val="20"/>
          <w:szCs w:val="20"/>
          <w:color w:val="auto"/>
        </w:rPr>
      </w:pPr>
      <w:r>
        <w:rPr>
          <w:rFonts w:ascii="Times New Roman" w:cs="Times New Roman" w:eastAsia="Times New Roman" w:hAnsi="Times New Roman"/>
          <w:sz w:val="20"/>
          <w:szCs w:val="20"/>
          <w:color w:val="auto"/>
        </w:rPr>
        <w:t>Financial Accounting Standards Board ("FASB") guidance on fair value measurements and disclosures defines fair value for GAAP and establishes a framework for measuring fair value as well as a fair value hierarchy based on the quality and nature of inputs used to measure fair value. The term “fair value” in these combined financial statements is defined in accordance with GAAP. The hierarchy gives the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98" w:lineRule="exact"/>
        <w:rPr>
          <w:sz w:val="20"/>
          <w:szCs w:val="20"/>
          <w:color w:val="auto"/>
        </w:rPr>
      </w:pPr>
    </w:p>
    <w:p>
      <w:pPr>
        <w:ind w:left="8" w:right="140" w:firstLine="702"/>
        <w:spacing w:after="0" w:line="269" w:lineRule="auto"/>
        <w:rPr>
          <w:sz w:val="20"/>
          <w:szCs w:val="20"/>
          <w:color w:val="auto"/>
        </w:rPr>
      </w:pPr>
      <w:r>
        <w:rPr>
          <w:rFonts w:ascii="Times New Roman" w:cs="Times New Roman" w:eastAsia="Times New Roman" w:hAnsi="Times New Roman"/>
          <w:sz w:val="20"/>
          <w:szCs w:val="20"/>
          <w:color w:val="auto"/>
        </w:rPr>
        <w:t>Level 1 Inputs reflect unadjusted quoted prices in active markets for identical assets or liabilities that the Company has the ability to access at the measurement date;</w:t>
      </w:r>
    </w:p>
    <w:p>
      <w:pPr>
        <w:spacing w:after="0" w:line="173" w:lineRule="exact"/>
        <w:rPr>
          <w:sz w:val="20"/>
          <w:szCs w:val="20"/>
          <w:color w:val="auto"/>
        </w:rPr>
      </w:pPr>
    </w:p>
    <w:p>
      <w:pPr>
        <w:ind w:left="8" w:right="80" w:firstLine="702"/>
        <w:spacing w:after="0" w:line="269" w:lineRule="auto"/>
        <w:rPr>
          <w:sz w:val="20"/>
          <w:szCs w:val="20"/>
          <w:color w:val="auto"/>
        </w:rPr>
      </w:pPr>
      <w:r>
        <w:rPr>
          <w:rFonts w:ascii="Times New Roman" w:cs="Times New Roman" w:eastAsia="Times New Roman" w:hAnsi="Times New Roman"/>
          <w:sz w:val="20"/>
          <w:szCs w:val="20"/>
          <w:color w:val="auto"/>
        </w:rPr>
        <w:t>Level 2 Inputs represent other than quoted prices that are observable for the asset or liability either directly or indirectly, including inputs in markets that are not considered to be active; and</w:t>
      </w:r>
    </w:p>
    <w:p>
      <w:pPr>
        <w:spacing w:after="0" w:line="173"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20"/>
          <w:szCs w:val="20"/>
          <w:color w:val="auto"/>
        </w:rPr>
        <w:t>Level 3 Inputs are those that are unobservable.</w:t>
      </w:r>
    </w:p>
    <w:p>
      <w:pPr>
        <w:spacing w:after="0" w:line="229" w:lineRule="exact"/>
        <w:rPr>
          <w:sz w:val="20"/>
          <w:szCs w:val="20"/>
          <w:color w:val="auto"/>
        </w:rPr>
      </w:pPr>
    </w:p>
    <w:p>
      <w:pPr>
        <w:ind w:left="8" w:right="20" w:firstLine="702"/>
        <w:spacing w:after="0" w:line="254" w:lineRule="auto"/>
        <w:rPr>
          <w:sz w:val="20"/>
          <w:szCs w:val="20"/>
          <w:color w:val="auto"/>
        </w:rPr>
      </w:pPr>
      <w:r>
        <w:rPr>
          <w:rFonts w:ascii="Times New Roman" w:cs="Times New Roman" w:eastAsia="Times New Roman" w:hAnsi="Times New Roman"/>
          <w:sz w:val="20"/>
          <w:szCs w:val="20"/>
          <w:color w:val="auto"/>
        </w:rPr>
        <w:t>The carrying value of the Company's cash and cash equivalents, hotel receivables, accounts payable and accrued expenses approximate fair value because of the relatively short maturities of these instruments. The Company is not required to carry any other assets or liabilities at fair value on a recurring basis.</w:t>
      </w:r>
    </w:p>
    <w:p>
      <w:pPr>
        <w:spacing w:after="0" w:line="184"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20"/>
          <w:szCs w:val="20"/>
          <w:i w:val="1"/>
          <w:iCs w:val="1"/>
          <w:color w:val="auto"/>
        </w:rPr>
        <w:t>Investment in hotel property, net</w:t>
      </w:r>
    </w:p>
    <w:p>
      <w:pPr>
        <w:spacing w:after="0" w:line="233" w:lineRule="exact"/>
        <w:rPr>
          <w:sz w:val="20"/>
          <w:szCs w:val="20"/>
          <w:color w:val="auto"/>
        </w:rPr>
      </w:pPr>
    </w:p>
    <w:p>
      <w:pPr>
        <w:ind w:left="8" w:right="120" w:firstLine="702"/>
        <w:spacing w:after="0" w:line="245" w:lineRule="auto"/>
        <w:rPr>
          <w:sz w:val="20"/>
          <w:szCs w:val="20"/>
          <w:color w:val="auto"/>
        </w:rPr>
      </w:pPr>
      <w:r>
        <w:rPr>
          <w:rFonts w:ascii="Times New Roman" w:cs="Times New Roman" w:eastAsia="Times New Roman" w:hAnsi="Times New Roman"/>
          <w:sz w:val="20"/>
          <w:szCs w:val="20"/>
          <w:color w:val="auto"/>
        </w:rPr>
        <w:t>The Company allocates the purchase prices of hotel properties acquired through an asset acquisition based on the fair value of the acquired real estate, furniture, fixtures and equipment, identifiable intangible assets and assumed liabilities. In making estimates of fair value for purposes of allocating the purchase price, the Company utilizes a number of sources of information that are obtained in connection with the acquisition of a hotel property, including valuations performed by independent third parties and information obtained about each hotel property resulting from pre acquisition due diligence. Hotel property acquisition costs are capitalized and amortized over the appropriate useful life.</w:t>
      </w:r>
    </w:p>
    <w:p>
      <w:pPr>
        <w:spacing w:after="0" w:line="198" w:lineRule="exact"/>
        <w:rPr>
          <w:sz w:val="20"/>
          <w:szCs w:val="20"/>
          <w:color w:val="auto"/>
        </w:rPr>
      </w:pPr>
    </w:p>
    <w:p>
      <w:pPr>
        <w:ind w:left="8" w:right="160" w:firstLine="702"/>
        <w:spacing w:after="0" w:line="245" w:lineRule="auto"/>
        <w:rPr>
          <w:sz w:val="20"/>
          <w:szCs w:val="20"/>
          <w:color w:val="auto"/>
        </w:rPr>
      </w:pPr>
      <w:r>
        <w:rPr>
          <w:rFonts w:ascii="Times New Roman" w:cs="Times New Roman" w:eastAsia="Times New Roman" w:hAnsi="Times New Roman"/>
          <w:sz w:val="20"/>
          <w:szCs w:val="20"/>
          <w:color w:val="auto"/>
        </w:rPr>
        <w:t>The Company’s investments in hotel properties are carried at cost and are depreciated using the straight-line method over the estimated useful lives of the assets, generally 39 years for buildings, 15 years for land improvements, 5 to 15 years for building improvements and three to five years for furniture, fixtures and equipment. Renovations and replacements at the hotel properties that improve or extend the life of the assets are capitalized and depreciated over their useful lives, while repairs and maintenance are expensed as incurred. Upon the sale or retirement of property and equipment, the cost and related accumulated depreciation are removed from the Company’s accounts, and any resulting gain or loss is recognized in the combined statement of operations.</w:t>
      </w:r>
    </w:p>
    <w:p>
      <w:pPr>
        <w:spacing w:after="0" w:line="200" w:lineRule="exact"/>
        <w:rPr>
          <w:sz w:val="20"/>
          <w:szCs w:val="20"/>
          <w:color w:val="auto"/>
        </w:rPr>
      </w:pPr>
    </w:p>
    <w:p>
      <w:pPr>
        <w:spacing w:after="0" w:line="223"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79375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8"/>
          </w:cols>
          <w:pgMar w:left="472" w:top="585" w:right="339" w:bottom="518" w:gutter="0" w:footer="0" w:header="0"/>
        </w:sectPr>
      </w:pPr>
    </w:p>
    <w:bookmarkStart w:id="12" w:name="page13"/>
    <w:bookmarkEnd w:id="12"/>
    <w:p>
      <w:pPr>
        <w:ind w:right="40" w:firstLine="702"/>
        <w:spacing w:after="0" w:line="243" w:lineRule="auto"/>
        <w:rPr>
          <w:sz w:val="20"/>
          <w:szCs w:val="20"/>
          <w:color w:val="auto"/>
        </w:rPr>
      </w:pPr>
      <w:r>
        <w:rPr>
          <w:rFonts w:ascii="Times New Roman" w:cs="Times New Roman" w:eastAsia="Times New Roman" w:hAnsi="Times New Roman"/>
          <w:sz w:val="20"/>
          <w:szCs w:val="20"/>
          <w:color w:val="auto"/>
        </w:rPr>
        <w:t>The Company periodically reviews its hotel properties for impairment whenever events or changes in circumstances indicate that the carrying value of the hotel properties may not be recoverable. Events or circumstances that may cause a review include, but are not limited to, adverse changes in the demand for lodging at the properties due to declining national or local economic conditions or new hotel construction in markets where the hotel properties are located. When such conditions exist, management performs an analysis to determine if the estimated undiscounted future cash flows, without interest charges, from operations and the net proceeds from the ultimate disposition of a hotel property exceeds its carrying value. If the estimated undiscounted future cash flows are less than the carrying amount, an adjustment to reduce the carrying amount to the related hotel property's estimated fair market value is recorded and an impairment loss is recognized. There were no impairments recorded during the year ended December 31, 2025.</w:t>
      </w:r>
    </w:p>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i w:val="1"/>
          <w:iCs w:val="1"/>
          <w:color w:val="auto"/>
        </w:rPr>
        <w:t>Cash and Cash Equivalents</w:t>
      </w:r>
    </w:p>
    <w:p>
      <w:pPr>
        <w:spacing w:after="0" w:line="233" w:lineRule="exact"/>
        <w:rPr>
          <w:sz w:val="20"/>
          <w:szCs w:val="20"/>
          <w:color w:val="auto"/>
        </w:rPr>
      </w:pPr>
    </w:p>
    <w:p>
      <w:pPr>
        <w:ind w:right="220" w:firstLine="702"/>
        <w:spacing w:after="0" w:line="269" w:lineRule="auto"/>
        <w:rPr>
          <w:sz w:val="20"/>
          <w:szCs w:val="20"/>
          <w:color w:val="auto"/>
        </w:rPr>
      </w:pPr>
      <w:r>
        <w:rPr>
          <w:rFonts w:ascii="Times New Roman" w:cs="Times New Roman" w:eastAsia="Times New Roman" w:hAnsi="Times New Roman"/>
          <w:sz w:val="20"/>
          <w:szCs w:val="20"/>
          <w:color w:val="auto"/>
        </w:rPr>
        <w:t>Cash and cash equivalents consist of cash on hand, demand deposits with financial institutions and short term liquid investments with an original maturity of three months or less. Cash balances in individual banks may exceed federally insurable limits.</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i w:val="1"/>
          <w:iCs w:val="1"/>
          <w:color w:val="auto"/>
        </w:rPr>
        <w:t>Hotel Receivables</w:t>
      </w:r>
    </w:p>
    <w:p>
      <w:pPr>
        <w:spacing w:after="0" w:line="233" w:lineRule="exact"/>
        <w:rPr>
          <w:sz w:val="20"/>
          <w:szCs w:val="20"/>
          <w:color w:val="auto"/>
        </w:rPr>
      </w:pPr>
    </w:p>
    <w:p>
      <w:pPr>
        <w:ind w:right="20" w:firstLine="702"/>
        <w:spacing w:after="0" w:line="254" w:lineRule="auto"/>
        <w:rPr>
          <w:sz w:val="20"/>
          <w:szCs w:val="20"/>
          <w:color w:val="auto"/>
        </w:rPr>
      </w:pPr>
      <w:r>
        <w:rPr>
          <w:rFonts w:ascii="Times New Roman" w:cs="Times New Roman" w:eastAsia="Times New Roman" w:hAnsi="Times New Roman"/>
          <w:sz w:val="20"/>
          <w:szCs w:val="20"/>
          <w:color w:val="auto"/>
        </w:rPr>
        <w:t>Hotel receivables consist of amounts owed by guests staying in the Company's hotels and amounts due from business customers or groups. An allowance for doubtful accounts is provided and maintained at a level believed to be adequate to absorb estimated probable losses. As of December 31, 2025, the allowance for doubtful accounts was zero.</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i w:val="1"/>
          <w:iCs w:val="1"/>
          <w:color w:val="auto"/>
        </w:rPr>
        <w:t>Prepaid Expenses and Other Assets</w:t>
      </w:r>
    </w:p>
    <w:p>
      <w:pPr>
        <w:spacing w:after="0" w:line="233" w:lineRule="exact"/>
        <w:rPr>
          <w:sz w:val="20"/>
          <w:szCs w:val="20"/>
          <w:color w:val="auto"/>
        </w:rPr>
      </w:pPr>
    </w:p>
    <w:p>
      <w:pPr>
        <w:ind w:right="120" w:firstLine="702"/>
        <w:spacing w:after="0" w:line="269" w:lineRule="auto"/>
        <w:rPr>
          <w:sz w:val="20"/>
          <w:szCs w:val="20"/>
          <w:color w:val="auto"/>
        </w:rPr>
      </w:pPr>
      <w:r>
        <w:rPr>
          <w:rFonts w:ascii="Times New Roman" w:cs="Times New Roman" w:eastAsia="Times New Roman" w:hAnsi="Times New Roman"/>
          <w:sz w:val="20"/>
          <w:szCs w:val="20"/>
          <w:color w:val="auto"/>
        </w:rPr>
        <w:t>The Company's prepaid expenses and other assets consist primarily of prepaid insurance, which are expensed over the term of the insurance coverage on a straight-line basis, deposits, and hotel supplies inventory.</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i w:val="1"/>
          <w:iCs w:val="1"/>
          <w:color w:val="auto"/>
        </w:rPr>
        <w:t>Goodwill</w:t>
      </w:r>
    </w:p>
    <w:p>
      <w:pPr>
        <w:spacing w:after="0" w:line="233" w:lineRule="exact"/>
        <w:rPr>
          <w:sz w:val="20"/>
          <w:szCs w:val="20"/>
          <w:color w:val="auto"/>
        </w:rPr>
      </w:pPr>
    </w:p>
    <w:p>
      <w:pPr>
        <w:ind w:right="140" w:firstLine="702"/>
        <w:spacing w:after="0" w:line="242" w:lineRule="auto"/>
        <w:rPr>
          <w:sz w:val="20"/>
          <w:szCs w:val="20"/>
          <w:color w:val="auto"/>
        </w:rPr>
      </w:pPr>
      <w:r>
        <w:rPr>
          <w:rFonts w:ascii="Times New Roman" w:cs="Times New Roman" w:eastAsia="Times New Roman" w:hAnsi="Times New Roman"/>
          <w:sz w:val="20"/>
          <w:szCs w:val="20"/>
          <w:color w:val="auto"/>
        </w:rPr>
        <w:t>The Company's goodwill represents the excess of the purchase price over the fair value of identifiable net assets acquired in previous business combinations. In accordance with GAAP, goodwill is not amortized but is evaluated for impairment at least annually, or more frequently if events or changes in circumstances indicate that it is more likely than not that the fair value is less than its carrying amount. Goodwill is assigned to certain of the Company’s hotel properties and the Company has the option to first perform a qualitative assessment to determine whether it is necessary to perform a quantitative impairment test. If a quantitative test is performed, the Company compares the fair value of each reporting unit to its carrying amount, including goodwill. Fair value reflects the price a market participant would be willing to pay in a potential sale of the reporting unit. If the carrying amount of a reporting unit exceeds its fair value, an impairment loss is recognized in an amount equal to that excess, limited to the total amount of goodwill allocated to the reporting unit. Impairment losses are recognized in earnings and are not reversed in subsequent periods. No impairment indicators were identified as of December 31, 2025.</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i w:val="1"/>
          <w:iCs w:val="1"/>
          <w:color w:val="auto"/>
        </w:rPr>
        <w:t>Deferred Costs, net</w:t>
      </w:r>
    </w:p>
    <w:p>
      <w:pPr>
        <w:spacing w:after="0" w:line="233" w:lineRule="exact"/>
        <w:rPr>
          <w:sz w:val="20"/>
          <w:szCs w:val="20"/>
          <w:color w:val="auto"/>
        </w:rPr>
      </w:pPr>
    </w:p>
    <w:p>
      <w:pPr>
        <w:jc w:val="both"/>
        <w:ind w:right="80" w:firstLine="702"/>
        <w:spacing w:after="0" w:line="295" w:lineRule="auto"/>
        <w:rPr>
          <w:sz w:val="20"/>
          <w:szCs w:val="20"/>
          <w:color w:val="auto"/>
        </w:rPr>
      </w:pPr>
      <w:r>
        <w:rPr>
          <w:rFonts w:ascii="Times New Roman" w:cs="Times New Roman" w:eastAsia="Times New Roman" w:hAnsi="Times New Roman"/>
          <w:sz w:val="19"/>
          <w:szCs w:val="19"/>
          <w:color w:val="auto"/>
        </w:rPr>
        <w:t>Deferred financing costs are being amortized using the effective-interest method over the term of the related loan and are included in interest expense on the statement of operations. For the year ended December 31, 2025, amortization of deferred financing costs was $9.</w:t>
      </w:r>
    </w:p>
    <w:p>
      <w:pPr>
        <w:spacing w:after="0" w:line="151" w:lineRule="exact"/>
        <w:rPr>
          <w:sz w:val="20"/>
          <w:szCs w:val="20"/>
          <w:color w:val="auto"/>
        </w:rPr>
      </w:pPr>
    </w:p>
    <w:p>
      <w:pPr>
        <w:jc w:val="both"/>
        <w:ind w:right="120" w:firstLine="702"/>
        <w:spacing w:after="0" w:line="249" w:lineRule="auto"/>
        <w:rPr>
          <w:sz w:val="20"/>
          <w:szCs w:val="20"/>
          <w:color w:val="auto"/>
        </w:rPr>
      </w:pPr>
      <w:r>
        <w:rPr>
          <w:rFonts w:ascii="Times New Roman" w:cs="Times New Roman" w:eastAsia="Times New Roman" w:hAnsi="Times New Roman"/>
          <w:sz w:val="20"/>
          <w:szCs w:val="20"/>
          <w:color w:val="auto"/>
        </w:rPr>
        <w:t>The Company enters into franchise agreements that require the payment of initial franchise fees which are capitalized as deferred costs, net as the fees provide a future economic benefit and are not related to ongoing services. Capitalized franchise fees are amortized on a straight-line basis over the estimated useful lives of the related franchise agreements, which is 15 years. Amortization expense related to capitalized franchise fees is included in depreciation and amortization in the combined statement of operations.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29" w:lineRule="exact"/>
        <w:rPr>
          <w:sz w:val="20"/>
          <w:szCs w:val="20"/>
          <w:color w:val="auto"/>
        </w:rPr>
      </w:pPr>
    </w:p>
    <w:p>
      <w:pPr>
        <w:ind w:right="180" w:firstLine="702"/>
        <w:spacing w:after="0" w:line="256" w:lineRule="auto"/>
        <w:rPr>
          <w:sz w:val="20"/>
          <w:szCs w:val="20"/>
          <w:color w:val="auto"/>
        </w:rPr>
      </w:pPr>
      <w:r>
        <w:rPr>
          <w:rFonts w:ascii="Times New Roman" w:cs="Times New Roman" w:eastAsia="Times New Roman" w:hAnsi="Times New Roman"/>
          <w:sz w:val="20"/>
          <w:szCs w:val="20"/>
          <w:color w:val="auto"/>
        </w:rPr>
        <w:t xml:space="preserve">The Company accounts for revenue in accordance with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Revenue from contracts with customers consists primarily of revenue generated from the Company’s hotel operations, including room revenue and other revenues such as food and beverage, pet fees, convenience store and sundries.</w:t>
      </w:r>
    </w:p>
    <w:p>
      <w:pPr>
        <w:spacing w:after="0" w:line="186" w:lineRule="exact"/>
        <w:rPr>
          <w:sz w:val="20"/>
          <w:szCs w:val="20"/>
          <w:color w:val="auto"/>
        </w:rPr>
      </w:pPr>
    </w:p>
    <w:p>
      <w:pPr>
        <w:ind w:firstLine="702"/>
        <w:spacing w:after="0" w:line="245" w:lineRule="auto"/>
        <w:rPr>
          <w:sz w:val="20"/>
          <w:szCs w:val="20"/>
          <w:color w:val="auto"/>
        </w:rPr>
      </w:pPr>
      <w:r>
        <w:rPr>
          <w:rFonts w:ascii="Times New Roman" w:cs="Times New Roman" w:eastAsia="Times New Roman" w:hAnsi="Times New Roman"/>
          <w:sz w:val="20"/>
          <w:szCs w:val="20"/>
          <w:color w:val="auto"/>
        </w:rPr>
        <w:t>Room revenue is recognized over a customer’s hotel stay. The Company’s performance obligation is to provide accommodation and other goods and services to guests. This obligation represents a series of distinct goods or services provided over a period of time which is a single performance obligation as the distinct goods or services are substantially the same and have the same pattern of transfer to the customer. Current accounting standards require that companies disaggregate revenue from contracts with customers into categories that depict how the nature, amount, timing, and uncertainty of revenue and cash flows are affected by economic factors. The Company has included its revenues disaggregated in its combined statement of operations to satisfy this requirement.</w:t>
      </w:r>
    </w:p>
    <w:p>
      <w:pPr>
        <w:spacing w:after="0" w:line="19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79375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805" w:right="339" w:bottom="1440" w:gutter="0" w:footer="0" w:header="0"/>
        </w:sectPr>
      </w:pPr>
    </w:p>
    <w:bookmarkStart w:id="13" w:name="page14"/>
    <w:bookmarkEnd w:id="13"/>
    <w:p>
      <w:pPr>
        <w:ind w:left="860"/>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33" w:lineRule="exact"/>
        <w:rPr>
          <w:sz w:val="20"/>
          <w:szCs w:val="20"/>
          <w:color w:val="auto"/>
        </w:rPr>
      </w:pPr>
    </w:p>
    <w:p>
      <w:pPr>
        <w:ind w:left="160" w:firstLine="648"/>
        <w:spacing w:after="0" w:line="245" w:lineRule="auto"/>
        <w:rPr>
          <w:sz w:val="20"/>
          <w:szCs w:val="20"/>
          <w:color w:val="auto"/>
        </w:rPr>
      </w:pPr>
      <w:r>
        <w:rPr>
          <w:rFonts w:ascii="Times New Roman" w:cs="Times New Roman" w:eastAsia="Times New Roman" w:hAnsi="Times New Roman"/>
          <w:sz w:val="20"/>
          <w:szCs w:val="20"/>
          <w:color w:val="auto"/>
        </w:rPr>
        <w:t>The Company, which is not a legal entity as described in Note 1, is the combined operations of multiple limited liability companies (“LLC”) that are taxed as partnerships for U.S. income tax purposes. Therefore, the Company is solely a pass-through entity and does not have any federal or state income tax liabilities. Accordingly, the Company does not record a provision for income taxes because the members report their share of the Company’s income or loss on their income tax returns. The only amount related to income taxes are for a personal property replacement tax in the state of Illinois that is based on the net income of Effingham Hospitality Partners LLC and Effingham Hospitality Partners II LLC.</w:t>
      </w:r>
    </w:p>
    <w:p>
      <w:pPr>
        <w:spacing w:after="0" w:line="200" w:lineRule="exact"/>
        <w:rPr>
          <w:sz w:val="20"/>
          <w:szCs w:val="20"/>
          <w:color w:val="auto"/>
        </w:rPr>
      </w:pPr>
    </w:p>
    <w:p>
      <w:pPr>
        <w:spacing w:after="0" w:line="223" w:lineRule="exact"/>
        <w:rPr>
          <w:sz w:val="20"/>
          <w:szCs w:val="20"/>
          <w:color w:val="auto"/>
        </w:rPr>
      </w:pPr>
    </w:p>
    <w:p>
      <w:pPr>
        <w:ind w:left="880" w:hanging="319"/>
        <w:spacing w:after="0"/>
        <w:tabs>
          <w:tab w:leader="none" w:pos="8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Investment in hotel properties, net</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Investment in hotel properties, net for the Company as of December 31, 2025 consisted of the following (in thousands):</w:t>
      </w:r>
    </w:p>
    <w:p>
      <w:pPr>
        <w:sectPr>
          <w:pgSz w:w="11900" w:h="16838" w:orient="portrait"/>
          <w:cols w:equalWidth="0" w:num="1">
            <w:col w:w="11220"/>
          </w:cols>
          <w:pgMar w:left="320" w:top="5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Land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641223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Building and improvements</w:t>
      </w:r>
    </w:p>
    <w:p>
      <w:pPr>
        <w:ind w:left="560"/>
        <w:spacing w:after="0"/>
        <w:rPr>
          <w:sz w:val="20"/>
          <w:szCs w:val="20"/>
          <w:color w:val="auto"/>
        </w:rPr>
      </w:pPr>
      <w:r>
        <w:rPr>
          <w:rFonts w:ascii="Times New Roman" w:cs="Times New Roman" w:eastAsia="Times New Roman" w:hAnsi="Times New Roman"/>
          <w:sz w:val="20"/>
          <w:szCs w:val="20"/>
          <w:color w:val="auto"/>
        </w:rPr>
        <w:t>Furniture, fixtures,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20"/>
          <w:szCs w:val="20"/>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13335</wp:posOffset>
            </wp:positionV>
            <wp:extent cx="6412230"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97485"/>
                    </a:xfrm>
                    <a:prstGeom prst="rect">
                      <a:avLst/>
                    </a:prstGeom>
                    <a:noFill/>
                  </pic:spPr>
                </pic:pic>
              </a:graphicData>
            </a:graphic>
          </wp:anchor>
        </w:drawing>
      </w:r>
    </w:p>
    <w:p>
      <w:pPr>
        <w:spacing w:after="0" w:line="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Investment in hotel properties, net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Depreciation expense for the year ended December 31, 2025 was $2,424.</w:t>
      </w:r>
    </w:p>
    <w:p>
      <w:pPr>
        <w:spacing w:after="0" w:line="237" w:lineRule="exact"/>
        <w:rPr>
          <w:sz w:val="20"/>
          <w:szCs w:val="20"/>
          <w:color w:val="auto"/>
        </w:rPr>
      </w:pPr>
    </w:p>
    <w:p>
      <w:pPr>
        <w:ind w:left="880" w:hanging="319"/>
        <w:spacing w:after="0"/>
        <w:tabs>
          <w:tab w:leader="none" w:pos="8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Debt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616"/>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6" w:lineRule="exact"/>
        <w:rPr>
          <w:sz w:val="20"/>
          <w:szCs w:val="20"/>
          <w:color w:val="auto"/>
        </w:rPr>
      </w:pPr>
    </w:p>
    <w:p>
      <w:pPr>
        <w:jc w:val="center"/>
        <w:ind w:right="616"/>
        <w:spacing w:after="0"/>
        <w:rPr>
          <w:sz w:val="20"/>
          <w:szCs w:val="20"/>
          <w:color w:val="auto"/>
        </w:rPr>
      </w:pPr>
      <w:r>
        <w:rPr>
          <w:rFonts w:ascii="Times New Roman" w:cs="Times New Roman" w:eastAsia="Times New Roman" w:hAnsi="Times New Roman"/>
          <w:sz w:val="20"/>
          <w:szCs w:val="20"/>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9347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ind w:left="964" w:hanging="964"/>
        <w:spacing w:after="0"/>
        <w:tabs>
          <w:tab w:leader="none" w:pos="96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4,430</w:t>
      </w:r>
    </w:p>
    <w:p>
      <w:pPr>
        <w:spacing w:after="0" w:line="6" w:lineRule="exact"/>
        <w:rPr>
          <w:rFonts w:ascii="Times New Roman" w:cs="Times New Roman" w:eastAsia="Times New Roman" w:hAnsi="Times New Roman"/>
          <w:sz w:val="20"/>
          <w:szCs w:val="20"/>
          <w:color w:val="auto"/>
        </w:rPr>
      </w:pPr>
    </w:p>
    <w:p>
      <w:pPr>
        <w:ind w:left="86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55,164</w:t>
      </w:r>
    </w:p>
    <w:p>
      <w:pPr>
        <w:ind w:left="86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11,883</w:t>
      </w:r>
    </w:p>
    <w:p>
      <w:pPr>
        <w:jc w:val="right"/>
        <w:ind w:right="560"/>
        <w:spacing w:after="0"/>
        <w:rPr>
          <w:sz w:val="20"/>
          <w:szCs w:val="20"/>
          <w:color w:val="auto"/>
        </w:rPr>
      </w:pPr>
      <w:r>
        <w:rPr>
          <w:rFonts w:ascii="Times New Roman" w:cs="Times New Roman" w:eastAsia="Times New Roman" w:hAnsi="Times New Roman"/>
          <w:sz w:val="20"/>
          <w:szCs w:val="20"/>
          <w:color w:val="auto"/>
        </w:rPr>
        <w:t>(22,221)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9347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25" w:lineRule="exact"/>
        <w:rPr>
          <w:sz w:val="20"/>
          <w:szCs w:val="20"/>
          <w:color w:val="auto"/>
        </w:rPr>
      </w:pPr>
    </w:p>
    <w:p>
      <w:pPr>
        <w:ind w:left="864" w:hanging="864"/>
        <w:spacing w:after="0"/>
        <w:tabs>
          <w:tab w:leader="none" w:pos="86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49,256</w:t>
      </w:r>
    </w:p>
    <w:p>
      <w:pPr>
        <w:spacing w:after="0" w:line="1154" w:lineRule="exact"/>
        <w:rPr>
          <w:sz w:val="20"/>
          <w:szCs w:val="20"/>
          <w:color w:val="auto"/>
        </w:rPr>
      </w:pPr>
    </w:p>
    <w:p>
      <w:pPr>
        <w:sectPr>
          <w:pgSz w:w="11900" w:h="16838" w:orient="portrait"/>
          <w:cols w:equalWidth="0" w:num="2">
            <w:col w:w="8476" w:space="720"/>
            <w:col w:w="2024"/>
          </w:cols>
          <w:pgMar w:left="320" w:top="572" w:right="359" w:bottom="1440" w:gutter="0" w:footer="0" w:header="0"/>
          <w:type w:val="continuous"/>
        </w:sectPr>
      </w:pPr>
    </w:p>
    <w:p>
      <w:pPr>
        <w:spacing w:after="0" w:line="33" w:lineRule="exact"/>
        <w:rPr>
          <w:sz w:val="20"/>
          <w:szCs w:val="20"/>
          <w:color w:val="auto"/>
        </w:rPr>
      </w:pPr>
    </w:p>
    <w:p>
      <w:pPr>
        <w:ind w:left="160" w:right="20" w:firstLine="648"/>
        <w:spacing w:after="0" w:line="246" w:lineRule="auto"/>
        <w:rPr>
          <w:sz w:val="20"/>
          <w:szCs w:val="20"/>
          <w:color w:val="auto"/>
        </w:rPr>
      </w:pPr>
      <w:r>
        <w:rPr>
          <w:rFonts w:ascii="Times New Roman" w:cs="Times New Roman" w:eastAsia="Times New Roman" w:hAnsi="Times New Roman"/>
          <w:sz w:val="20"/>
          <w:szCs w:val="20"/>
          <w:color w:val="auto"/>
        </w:rPr>
        <w:t>The Company's mortgage loans are collateralized by first-mortgage liens on the hotel properties. The mortgages are non-recourse except for instances of fraud or misapplication of funds. The debt agreements for Home2 Suites Effingham and Homewood Suites Paducah requires Effingham Hospitality Partners II LLC and Paducah Hospitality Partners II LLC, respectively, to maintain a minimum debt service coverage ratio of 1.20x. The Company was in compliance with all financial covenants as of December 31, 2025. Debt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December 31, 2025</w:t>
            </w:r>
          </w:p>
        </w:tc>
        <w:tc>
          <w:tcPr>
            <w:tcW w:w="320" w:type="dxa"/>
            <w:vAlign w:val="bottom"/>
          </w:tcPr>
          <w:p>
            <w:pPr>
              <w:spacing w:after="0"/>
              <w:rPr>
                <w:sz w:val="19"/>
                <w:szCs w:val="19"/>
                <w:color w:val="auto"/>
              </w:rPr>
            </w:pPr>
          </w:p>
        </w:tc>
        <w:tc>
          <w:tcPr>
            <w:tcW w:w="2400" w:type="dxa"/>
            <w:vAlign w:val="bottom"/>
          </w:tcPr>
          <w:p>
            <w:pPr>
              <w:jc w:val="center"/>
              <w:ind w:right="241"/>
              <w:spacing w:after="0"/>
              <w:rPr>
                <w:sz w:val="20"/>
                <w:szCs w:val="20"/>
                <w:color w:val="auto"/>
              </w:rPr>
            </w:pPr>
            <w:r>
              <w:rPr>
                <w:rFonts w:ascii="Times New Roman" w:cs="Times New Roman" w:eastAsia="Times New Roman" w:hAnsi="Times New Roman"/>
                <w:sz w:val="20"/>
                <w:szCs w:val="20"/>
                <w:b w:val="1"/>
                <w:bCs w:val="1"/>
                <w:color w:val="auto"/>
                <w:w w:val="97"/>
              </w:rPr>
              <w:t>Balance</w:t>
            </w: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14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Interest</w:t>
            </w:r>
          </w:p>
        </w:tc>
        <w:tc>
          <w:tcPr>
            <w:tcW w:w="1180" w:type="dxa"/>
            <w:vAlign w:val="bottom"/>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Maturity</w:t>
            </w:r>
          </w:p>
        </w:tc>
        <w:tc>
          <w:tcPr>
            <w:tcW w:w="220" w:type="dxa"/>
            <w:vAlign w:val="bottom"/>
          </w:tcPr>
          <w:p>
            <w:pPr>
              <w:spacing w:after="0"/>
              <w:rPr>
                <w:sz w:val="19"/>
                <w:szCs w:val="19"/>
                <w:color w:val="auto"/>
              </w:rPr>
            </w:pPr>
          </w:p>
        </w:tc>
        <w:tc>
          <w:tcPr>
            <w:tcW w:w="1620" w:type="dxa"/>
            <w:vAlign w:val="bottom"/>
          </w:tcPr>
          <w:p>
            <w:pPr>
              <w:jc w:val="center"/>
              <w:ind w:right="161"/>
              <w:spacing w:after="0"/>
              <w:rPr>
                <w:sz w:val="20"/>
                <w:szCs w:val="20"/>
                <w:color w:val="auto"/>
              </w:rPr>
            </w:pPr>
            <w:r>
              <w:rPr>
                <w:rFonts w:ascii="Times New Roman" w:cs="Times New Roman" w:eastAsia="Times New Roman" w:hAnsi="Times New Roman"/>
                <w:sz w:val="20"/>
                <w:szCs w:val="20"/>
                <w:b w:val="1"/>
                <w:bCs w:val="1"/>
                <w:color w:val="auto"/>
                <w:w w:val="99"/>
              </w:rPr>
              <w:t>Property</w:t>
            </w:r>
          </w:p>
        </w:tc>
        <w:tc>
          <w:tcPr>
            <w:tcW w:w="320" w:type="dxa"/>
            <w:vAlign w:val="bottom"/>
          </w:tcPr>
          <w:p>
            <w:pPr>
              <w:spacing w:after="0"/>
              <w:rPr>
                <w:sz w:val="19"/>
                <w:szCs w:val="19"/>
                <w:color w:val="auto"/>
              </w:rPr>
            </w:pPr>
          </w:p>
        </w:tc>
        <w:tc>
          <w:tcPr>
            <w:tcW w:w="2400" w:type="dxa"/>
            <w:vAlign w:val="bottom"/>
          </w:tcPr>
          <w:p>
            <w:pPr>
              <w:jc w:val="center"/>
              <w:ind w:right="241"/>
              <w:spacing w:after="0"/>
              <w:rPr>
                <w:sz w:val="20"/>
                <w:szCs w:val="20"/>
                <w:color w:val="auto"/>
              </w:rPr>
            </w:pPr>
            <w:r>
              <w:rPr>
                <w:rFonts w:ascii="Times New Roman" w:cs="Times New Roman" w:eastAsia="Times New Roman" w:hAnsi="Times New Roman"/>
                <w:sz w:val="20"/>
                <w:szCs w:val="20"/>
                <w:b w:val="1"/>
                <w:bCs w:val="1"/>
                <w:color w:val="auto"/>
                <w:w w:val="99"/>
              </w:rPr>
              <w:t>Outstanding as of</w:t>
            </w:r>
          </w:p>
        </w:tc>
      </w:tr>
      <w:tr>
        <w:trPr>
          <w:trHeight w:val="256"/>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Loan/Collateral</w:t>
            </w:r>
          </w:p>
        </w:tc>
        <w:tc>
          <w:tcPr>
            <w:tcW w:w="11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Rate</w:t>
            </w:r>
          </w:p>
        </w:tc>
        <w:tc>
          <w:tcPr>
            <w:tcW w:w="11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Date</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b w:val="1"/>
                <w:bCs w:val="1"/>
                <w:color w:val="auto"/>
                <w:w w:val="97"/>
              </w:rPr>
              <w:t>Carrying Value</w:t>
            </w:r>
          </w:p>
        </w:tc>
        <w:tc>
          <w:tcPr>
            <w:tcW w:w="3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20"/>
                <w:szCs w:val="20"/>
                <w:b w:val="1"/>
                <w:bCs w:val="1"/>
                <w:color w:val="auto"/>
                <w:w w:val="98"/>
              </w:rPr>
              <w:t>December 31, 2025</w:t>
            </w:r>
          </w:p>
        </w:tc>
      </w:tr>
      <w:tr>
        <w:trPr>
          <w:trHeight w:val="223"/>
        </w:trPr>
        <w:tc>
          <w:tcPr>
            <w:tcW w:w="20" w:type="dxa"/>
            <w:vAlign w:val="bottom"/>
          </w:tcPr>
          <w:p>
            <w:pPr>
              <w:spacing w:after="0"/>
              <w:rPr>
                <w:sz w:val="19"/>
                <w:szCs w:val="19"/>
                <w:color w:val="auto"/>
              </w:rPr>
            </w:pPr>
          </w:p>
        </w:tc>
        <w:tc>
          <w:tcPr>
            <w:tcW w:w="32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Hampton Inn &amp; Suites Paducah</w:t>
            </w:r>
          </w:p>
        </w:tc>
        <w:tc>
          <w:tcPr>
            <w:tcW w:w="1140" w:type="dxa"/>
            <w:vAlign w:val="bottom"/>
            <w:shd w:val="clear" w:color="auto" w:fill="CCEEF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3.125%</w:t>
            </w:r>
          </w:p>
        </w:tc>
        <w:tc>
          <w:tcPr>
            <w:tcW w:w="11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10/13/2026</w:t>
            </w:r>
          </w:p>
        </w:tc>
        <w:tc>
          <w:tcPr>
            <w:tcW w:w="2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20" w:type="dxa"/>
            <w:vAlign w:val="bottom"/>
            <w:tcBorders>
              <w:right w:val="single" w:sz="8" w:color="CCEEFF"/>
            </w:tcBorders>
            <w:shd w:val="clear" w:color="auto" w:fill="CCEEF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5,245</w:t>
            </w:r>
          </w:p>
        </w:tc>
        <w:tc>
          <w:tcPr>
            <w:tcW w:w="320" w:type="dxa"/>
            <w:vAlign w:val="bottom"/>
            <w:shd w:val="clear" w:color="auto" w:fill="CCEEFF"/>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2400" w:type="dxa"/>
            <w:vAlign w:val="bottom"/>
            <w:shd w:val="clear" w:color="auto" w:fill="CCEEF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4,740</w:t>
            </w: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Homewood Suites Paducah</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3.150%</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2/28/2027</w:t>
            </w:r>
          </w:p>
        </w:tc>
        <w:tc>
          <w:tcPr>
            <w:tcW w:w="220" w:type="dxa"/>
            <w:vAlign w:val="bottom"/>
          </w:tcPr>
          <w:p>
            <w:pPr>
              <w:spacing w:after="0"/>
              <w:rPr>
                <w:sz w:val="19"/>
                <w:szCs w:val="19"/>
                <w:color w:val="auto"/>
              </w:rPr>
            </w:pP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9,165</w:t>
            </w:r>
          </w:p>
        </w:tc>
        <w:tc>
          <w:tcPr>
            <w:tcW w:w="320" w:type="dxa"/>
            <w:vAlign w:val="bottom"/>
          </w:tcPr>
          <w:p>
            <w:pPr>
              <w:spacing w:after="0"/>
              <w:rPr>
                <w:sz w:val="19"/>
                <w:szCs w:val="19"/>
                <w:color w:val="auto"/>
              </w:rPr>
            </w:pP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7,720</w:t>
            </w:r>
          </w:p>
        </w:tc>
      </w:tr>
      <w:tr>
        <w:trPr>
          <w:trHeight w:val="230"/>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Homewood Suites Joplin</w:t>
            </w: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3.250%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7/6/2033</w:t>
            </w:r>
          </w:p>
        </w:tc>
        <w:tc>
          <w:tcPr>
            <w:tcW w:w="220" w:type="dxa"/>
            <w:vAlign w:val="bottom"/>
            <w:shd w:val="clear" w:color="auto" w:fill="CCEEFF"/>
          </w:tcPr>
          <w:p>
            <w:pPr>
              <w:spacing w:after="0"/>
              <w:rPr>
                <w:sz w:val="19"/>
                <w:szCs w:val="19"/>
                <w:color w:val="auto"/>
              </w:rPr>
            </w:pPr>
          </w:p>
        </w:tc>
        <w:tc>
          <w:tcPr>
            <w:tcW w:w="162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5,435</w:t>
            </w:r>
          </w:p>
        </w:tc>
        <w:tc>
          <w:tcPr>
            <w:tcW w:w="320" w:type="dxa"/>
            <w:vAlign w:val="bottom"/>
            <w:shd w:val="clear" w:color="auto" w:fill="CCEEFF"/>
          </w:tcPr>
          <w:p>
            <w:pPr>
              <w:spacing w:after="0"/>
              <w:rPr>
                <w:sz w:val="19"/>
                <w:szCs w:val="19"/>
                <w:color w:val="auto"/>
              </w:rPr>
            </w:pPr>
          </w:p>
        </w:tc>
        <w:tc>
          <w:tcPr>
            <w:tcW w:w="24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3,689</w:t>
            </w:r>
          </w:p>
        </w:tc>
      </w:tr>
      <w:tr>
        <w:trPr>
          <w:trHeight w:val="229"/>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Home2 Suites Joplin</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3.250%</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8/28/2041</w:t>
            </w:r>
          </w:p>
        </w:tc>
        <w:tc>
          <w:tcPr>
            <w:tcW w:w="220" w:type="dxa"/>
            <w:vAlign w:val="bottom"/>
          </w:tcPr>
          <w:p>
            <w:pPr>
              <w:spacing w:after="0"/>
              <w:rPr>
                <w:sz w:val="19"/>
                <w:szCs w:val="19"/>
                <w:color w:val="auto"/>
              </w:rPr>
            </w:pP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7,958</w:t>
            </w:r>
          </w:p>
        </w:tc>
        <w:tc>
          <w:tcPr>
            <w:tcW w:w="320" w:type="dxa"/>
            <w:vAlign w:val="bottom"/>
          </w:tcPr>
          <w:p>
            <w:pPr>
              <w:spacing w:after="0"/>
              <w:rPr>
                <w:sz w:val="19"/>
                <w:szCs w:val="19"/>
                <w:color w:val="auto"/>
              </w:rPr>
            </w:pP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7,336</w:t>
            </w:r>
          </w:p>
        </w:tc>
      </w:tr>
      <w:tr>
        <w:trPr>
          <w:trHeight w:val="230"/>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Hampton Inn &amp; Suites Effingham</w:t>
            </w: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3.250%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12/31/2045</w:t>
            </w:r>
          </w:p>
        </w:tc>
        <w:tc>
          <w:tcPr>
            <w:tcW w:w="220" w:type="dxa"/>
            <w:vAlign w:val="bottom"/>
            <w:shd w:val="clear" w:color="auto" w:fill="CCEEFF"/>
          </w:tcPr>
          <w:p>
            <w:pPr>
              <w:spacing w:after="0"/>
              <w:rPr>
                <w:sz w:val="19"/>
                <w:szCs w:val="19"/>
                <w:color w:val="auto"/>
              </w:rPr>
            </w:pPr>
          </w:p>
        </w:tc>
        <w:tc>
          <w:tcPr>
            <w:tcW w:w="162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9,334</w:t>
            </w:r>
          </w:p>
        </w:tc>
        <w:tc>
          <w:tcPr>
            <w:tcW w:w="320" w:type="dxa"/>
            <w:vAlign w:val="bottom"/>
            <w:shd w:val="clear" w:color="auto" w:fill="CCEEFF"/>
          </w:tcPr>
          <w:p>
            <w:pPr>
              <w:spacing w:after="0"/>
              <w:rPr>
                <w:sz w:val="19"/>
                <w:szCs w:val="19"/>
                <w:color w:val="auto"/>
              </w:rPr>
            </w:pPr>
          </w:p>
        </w:tc>
        <w:tc>
          <w:tcPr>
            <w:tcW w:w="24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8,513</w:t>
            </w:r>
          </w:p>
        </w:tc>
      </w:tr>
      <w:tr>
        <w:trPr>
          <w:trHeight w:val="243"/>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Home2 Suites Effingham (1)</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5.750%</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8/28/2026</w:t>
            </w:r>
          </w:p>
        </w:tc>
        <w:tc>
          <w:tcPr>
            <w:tcW w:w="220" w:type="dxa"/>
            <w:vAlign w:val="bottom"/>
          </w:tcPr>
          <w:p>
            <w:pPr>
              <w:spacing w:after="0"/>
              <w:rPr>
                <w:sz w:val="21"/>
                <w:szCs w:val="21"/>
                <w:color w:val="auto"/>
              </w:rPr>
            </w:pP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12,119</w:t>
            </w:r>
          </w:p>
        </w:tc>
        <w:tc>
          <w:tcPr>
            <w:tcW w:w="32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10,653</w:t>
            </w:r>
          </w:p>
        </w:tc>
      </w:tr>
      <w:tr>
        <w:trPr>
          <w:trHeight w:val="200"/>
        </w:trPr>
        <w:tc>
          <w:tcPr>
            <w:tcW w:w="20" w:type="dxa"/>
            <w:vAlign w:val="bottom"/>
          </w:tcPr>
          <w:p>
            <w:pPr>
              <w:spacing w:after="0"/>
              <w:rPr>
                <w:sz w:val="17"/>
                <w:szCs w:val="17"/>
                <w:color w:val="auto"/>
              </w:rPr>
            </w:pPr>
          </w:p>
        </w:tc>
        <w:tc>
          <w:tcPr>
            <w:tcW w:w="322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20"/>
                <w:szCs w:val="20"/>
                <w:color w:val="auto"/>
                <w:w w:val="98"/>
              </w:rPr>
              <w:t>Total mortgage debt before unamortized</w:t>
            </w: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r>
      <w:tr>
        <w:trPr>
          <w:trHeight w:val="252"/>
        </w:trPr>
        <w:tc>
          <w:tcPr>
            <w:tcW w:w="20" w:type="dxa"/>
            <w:vAlign w:val="bottom"/>
          </w:tcPr>
          <w:p>
            <w:pPr>
              <w:spacing w:after="0"/>
              <w:rPr>
                <w:sz w:val="21"/>
                <w:szCs w:val="21"/>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debt issue costs</w:t>
            </w:r>
          </w:p>
        </w:tc>
        <w:tc>
          <w:tcPr>
            <w:tcW w:w="1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24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42,651</w:t>
            </w: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20"/>
                <w:szCs w:val="20"/>
                <w:color w:val="auto"/>
              </w:rPr>
              <w:t>Unamortized mortgage debt issue costs</w:t>
            </w:r>
          </w:p>
        </w:tc>
        <w:tc>
          <w:tcPr>
            <w:tcW w:w="1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43"/>
        </w:trPr>
        <w:tc>
          <w:tcPr>
            <w:tcW w:w="20" w:type="dxa"/>
            <w:vAlign w:val="bottom"/>
          </w:tcPr>
          <w:p>
            <w:pPr>
              <w:spacing w:after="0"/>
              <w:rPr>
                <w:sz w:val="21"/>
                <w:szCs w:val="21"/>
                <w:color w:val="auto"/>
              </w:rPr>
            </w:pPr>
          </w:p>
        </w:tc>
        <w:tc>
          <w:tcPr>
            <w:tcW w:w="32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Total mortgage debt outstanding</w:t>
            </w:r>
          </w:p>
        </w:tc>
        <w:tc>
          <w:tcPr>
            <w:tcW w:w="1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2400" w:type="dxa"/>
            <w:vAlign w:val="bottom"/>
            <w:shd w:val="clear" w:color="auto" w:fill="CCEEF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42,576</w:t>
            </w: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0" w:type="dxa"/>
            <w:vAlign w:val="bottom"/>
            <w:tcBorders>
              <w:top w:val="single" w:sz="8" w:color="auto"/>
            </w:tcBorders>
            <w:shd w:val="clear" w:color="auto" w:fill="000000"/>
          </w:tcPr>
          <w:p>
            <w:pPr>
              <w:spacing w:after="0" w:line="20" w:lineRule="exact"/>
              <w:rPr>
                <w:sz w:val="1"/>
                <w:szCs w:val="1"/>
                <w:color w:val="auto"/>
              </w:rPr>
            </w:pPr>
          </w:p>
        </w:tc>
      </w:tr>
    </w:tbl>
    <w:p>
      <w:pPr>
        <w:spacing w:after="0" w:line="207" w:lineRule="exact"/>
        <w:rPr>
          <w:sz w:val="20"/>
          <w:szCs w:val="20"/>
          <w:color w:val="auto"/>
        </w:rPr>
      </w:pPr>
    </w:p>
    <w:p>
      <w:pPr>
        <w:ind w:right="120" w:firstLine="818"/>
        <w:spacing w:after="0" w:line="269" w:lineRule="auto"/>
        <w:tabs>
          <w:tab w:leader="none" w:pos="109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year ended December 31, 2025, the Home2 Suites Effingham loan balance increased $565 due to final draws made on its existing mortgage debt.</w:t>
      </w:r>
    </w:p>
    <w:p>
      <w:pPr>
        <w:spacing w:after="0" w:line="173" w:lineRule="exact"/>
        <w:rPr>
          <w:sz w:val="20"/>
          <w:szCs w:val="20"/>
          <w:color w:val="auto"/>
        </w:rPr>
      </w:pPr>
    </w:p>
    <w:p>
      <w:pPr>
        <w:ind w:right="140" w:firstLine="810"/>
        <w:spacing w:after="0" w:line="246" w:lineRule="auto"/>
        <w:rPr>
          <w:sz w:val="20"/>
          <w:szCs w:val="20"/>
          <w:color w:val="auto"/>
        </w:rPr>
      </w:pPr>
      <w:r>
        <w:rPr>
          <w:rFonts w:ascii="Times New Roman" w:cs="Times New Roman" w:eastAsia="Times New Roman" w:hAnsi="Times New Roman"/>
          <w:sz w:val="20"/>
          <w:szCs w:val="20"/>
          <w:color w:val="auto"/>
        </w:rPr>
        <w:t>The interest rates as stated in the table above for Hampton Inn &amp; Suites Paducah, Homewood Suites Paducah and Home2 Suites Effingham are all fixed interest rates. The interest rates for Home2 Suites Joplin and Hampton Inn &amp; Suites Effingham are fixed for the first 60 months at the rates noted above and floating thereafter until maturity at the weekly average yield on U.S. treasury securities plus 2.5%. The interest rate for Homewood Suites Joplin is fixed for the first 60 months at the rate noted above and floating thereafter until maturity at the prime rate as published in the Central Edition of the Wall Street Journal plus 0.375%.</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2" w:right="359" w:bottom="1440" w:gutter="0" w:footer="0" w:header="0"/>
          <w:type w:val="continuous"/>
        </w:sectPr>
      </w:pPr>
    </w:p>
    <w:bookmarkStart w:id="14" w:name="page15"/>
    <w:bookmarkEnd w:id="14"/>
    <w:p>
      <w:pPr>
        <w:ind w:right="420" w:firstLine="810"/>
        <w:spacing w:after="0" w:line="269" w:lineRule="auto"/>
        <w:rPr>
          <w:sz w:val="20"/>
          <w:szCs w:val="20"/>
          <w:color w:val="auto"/>
        </w:rPr>
      </w:pPr>
      <w:r>
        <w:rPr>
          <w:rFonts w:ascii="Times New Roman" w:cs="Times New Roman" w:eastAsia="Times New Roman" w:hAnsi="Times New Roman"/>
          <w:sz w:val="20"/>
          <w:szCs w:val="20"/>
          <w:color w:val="auto"/>
        </w:rPr>
        <w:t>Future scheduled principal payments of debt obligations as of December 31, 2025, for each of the next five calendar years and thereafter are as follows (in thousands):</w:t>
      </w:r>
    </w:p>
    <w:p>
      <w:pPr>
        <w:spacing w:after="0" w:line="169" w:lineRule="exact"/>
        <w:rPr>
          <w:sz w:val="20"/>
          <w:szCs w:val="20"/>
          <w:color w:val="auto"/>
        </w:rPr>
      </w:pPr>
    </w:p>
    <w:tbl>
      <w:tblPr>
        <w:tblLayout w:type="fixed"/>
        <w:tblInd w:w="2240" w:type="dxa"/>
        <w:tblCellMar>
          <w:top w:w="0" w:type="dxa"/>
          <w:left w:w="0" w:type="dxa"/>
          <w:bottom w:w="0" w:type="dxa"/>
          <w:right w:w="0" w:type="dxa"/>
        </w:tblCellMar>
      </w:tblPr>
      <w:tr>
        <w:trPr>
          <w:trHeight w:val="256"/>
        </w:trPr>
        <w:tc>
          <w:tcPr>
            <w:tcW w:w="57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Amount</w:t>
            </w:r>
          </w:p>
        </w:tc>
      </w:tr>
      <w:tr>
        <w:trPr>
          <w:trHeight w:val="223"/>
        </w:trPr>
        <w:tc>
          <w:tcPr>
            <w:tcW w:w="5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2026</w:t>
            </w:r>
          </w:p>
        </w:tc>
        <w:tc>
          <w:tcPr>
            <w:tcW w:w="1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880" w:type="dxa"/>
            <w:vAlign w:val="bottom"/>
            <w:shd w:val="clear" w:color="auto" w:fill="CCEEF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16,866</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2027</w:t>
            </w:r>
          </w:p>
        </w:tc>
        <w:tc>
          <w:tcPr>
            <w:tcW w:w="12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8,484</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1,173</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2029</w:t>
            </w:r>
          </w:p>
        </w:tc>
        <w:tc>
          <w:tcPr>
            <w:tcW w:w="12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1,215</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2030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1,257</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Thereafter</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13,656</w:t>
            </w:r>
          </w:p>
        </w:tc>
      </w:tr>
      <w:tr>
        <w:trPr>
          <w:trHeight w:val="223"/>
        </w:trPr>
        <w:tc>
          <w:tcPr>
            <w:tcW w:w="5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b w:val="1"/>
                <w:bCs w:val="1"/>
                <w:color w:val="auto"/>
              </w:rPr>
              <w:t>Total debt before unamortized debt issue costs</w:t>
            </w:r>
          </w:p>
        </w:tc>
        <w:tc>
          <w:tcPr>
            <w:tcW w:w="1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880" w:type="dxa"/>
            <w:vAlign w:val="bottom"/>
            <w:shd w:val="clear" w:color="auto" w:fill="CCEEFF"/>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42,651</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Unamortized mortgage debt issue costs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1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Total debt outstanding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42,576</w:t>
            </w:r>
          </w:p>
        </w:tc>
      </w:tr>
    </w:tbl>
    <w:p>
      <w:pPr>
        <w:spacing w:after="0" w:line="200" w:lineRule="exact"/>
        <w:rPr>
          <w:sz w:val="20"/>
          <w:szCs w:val="20"/>
          <w:color w:val="auto"/>
        </w:rPr>
      </w:pPr>
    </w:p>
    <w:p>
      <w:pPr>
        <w:spacing w:after="0" w:line="232" w:lineRule="exact"/>
        <w:rPr>
          <w:sz w:val="20"/>
          <w:szCs w:val="20"/>
          <w:color w:val="auto"/>
        </w:rPr>
      </w:pPr>
    </w:p>
    <w:p>
      <w:pPr>
        <w:ind w:left="880" w:hanging="319"/>
        <w:spacing w:after="0"/>
        <w:tabs>
          <w:tab w:leader="none" w:pos="8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Members' Equity</w:t>
      </w:r>
    </w:p>
    <w:p>
      <w:pPr>
        <w:spacing w:after="0" w:line="233" w:lineRule="exact"/>
        <w:rPr>
          <w:sz w:val="20"/>
          <w:szCs w:val="20"/>
          <w:color w:val="auto"/>
        </w:rPr>
      </w:pPr>
    </w:p>
    <w:p>
      <w:pPr>
        <w:ind w:left="160" w:right="60" w:firstLine="918"/>
        <w:spacing w:after="0" w:line="242" w:lineRule="auto"/>
        <w:rPr>
          <w:sz w:val="20"/>
          <w:szCs w:val="20"/>
          <w:color w:val="auto"/>
        </w:rPr>
      </w:pPr>
      <w:r>
        <w:rPr>
          <w:rFonts w:ascii="Times New Roman" w:cs="Times New Roman" w:eastAsia="Times New Roman" w:hAnsi="Times New Roman"/>
          <w:sz w:val="20"/>
          <w:szCs w:val="20"/>
          <w:color w:val="auto"/>
        </w:rPr>
        <w:t>Effingham Hospitality Partners LLC, Effingham Hospitality Partners II LLC, Paducah Hospitality Partners LLC, Paducah Hospitality Partners II LLC, Joplin Hospitality Partners II LLC, and Joplin Hospitality Partners III LLC are limited liability companies. Members are not personally liable for the debts, obligations, or liabilities of the Company solely by reason of being members, except to the extent of any required capital contributions, contractual obligations, or other obligations expressly assumed by the member in accordance with the operating agreements. The Company has a single class of membership interests. Ownership interests are expressed as “Percentage of Interest,” which represents each member’s proportionate share of the Company based on capital contributions. Members share in profits, losses, and distributions in accordance with their respective Percentage of Interest, unless otherwise provided in the operating agreements. Distributions are generally made to members on a pro rata basis in accordance with their respective Percentage of Interest, subject to applicable law and the provisions of the operating agreements. The Company may make tax distributions and other interim distributions as determined by the board of managers.</w:t>
      </w:r>
    </w:p>
    <w:p>
      <w:pPr>
        <w:spacing w:after="0" w:line="202" w:lineRule="exact"/>
        <w:rPr>
          <w:sz w:val="20"/>
          <w:szCs w:val="20"/>
          <w:color w:val="auto"/>
        </w:rPr>
      </w:pPr>
    </w:p>
    <w:p>
      <w:pPr>
        <w:ind w:left="880" w:hanging="319"/>
        <w:spacing w:after="0"/>
        <w:tabs>
          <w:tab w:leader="none" w:pos="8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Commitments and Contingencies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Litigation</w:t>
      </w:r>
    </w:p>
    <w:p>
      <w:pPr>
        <w:spacing w:after="0" w:line="233" w:lineRule="exact"/>
        <w:rPr>
          <w:sz w:val="20"/>
          <w:szCs w:val="20"/>
          <w:color w:val="auto"/>
        </w:rPr>
      </w:pPr>
    </w:p>
    <w:p>
      <w:pPr>
        <w:ind w:left="160" w:firstLine="918"/>
        <w:spacing w:after="0" w:line="269" w:lineRule="auto"/>
        <w:rPr>
          <w:sz w:val="20"/>
          <w:szCs w:val="20"/>
          <w:color w:val="auto"/>
        </w:rPr>
      </w:pPr>
      <w:r>
        <w:rPr>
          <w:rFonts w:ascii="Times New Roman" w:cs="Times New Roman" w:eastAsia="Times New Roman" w:hAnsi="Times New Roman"/>
          <w:sz w:val="20"/>
          <w:szCs w:val="20"/>
          <w:color w:val="auto"/>
        </w:rPr>
        <w:t>The Company is subject to certain claims arising in the normal course of business. In the opinion of management, the results of these claims will not have a material impact on the Company's financial condition or results of operations.</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Management Agreements</w:t>
      </w:r>
    </w:p>
    <w:p>
      <w:pPr>
        <w:spacing w:after="0" w:line="233" w:lineRule="exact"/>
        <w:rPr>
          <w:sz w:val="20"/>
          <w:szCs w:val="20"/>
          <w:color w:val="auto"/>
        </w:rPr>
      </w:pPr>
    </w:p>
    <w:p>
      <w:pPr>
        <w:ind w:left="160" w:right="200" w:firstLine="918"/>
        <w:spacing w:after="0" w:line="256" w:lineRule="auto"/>
        <w:rPr>
          <w:sz w:val="20"/>
          <w:szCs w:val="20"/>
          <w:color w:val="auto"/>
        </w:rPr>
      </w:pPr>
      <w:r>
        <w:rPr>
          <w:rFonts w:ascii="Times New Roman" w:cs="Times New Roman" w:eastAsia="Times New Roman" w:hAnsi="Times New Roman"/>
          <w:sz w:val="19"/>
          <w:szCs w:val="19"/>
          <w:color w:val="auto"/>
        </w:rPr>
        <w:t>As of December 31, 2025, all six hotel properties are managed by McHugh Hospitality Group, Inc. ("McHugh"). The management agreements with McHugh have an initial term of three years and may be extended subject to approval by both McHugh and the Company. Each of the McHugh management agreements provides for a base management fee of 6% for the managed hotel’s gross revenues. Each of the management agreements with McHugh also provides for accounting fees up to $1,000 (actual) per month per hotel. Each of the McHugh management agreements may be terminated without cause by giving not less than a 60-days prior written notice and upon the assignment of the of the Company's interests in the related hotel or upon sale or transfer of such hotel. Each of the</w:t>
      </w:r>
    </w:p>
    <w:p>
      <w:pPr>
        <w:spacing w:after="0" w:line="1" w:lineRule="exact"/>
        <w:rPr>
          <w:sz w:val="20"/>
          <w:szCs w:val="20"/>
          <w:color w:val="auto"/>
        </w:rPr>
      </w:pPr>
    </w:p>
    <w:p>
      <w:pPr>
        <w:ind w:left="160" w:right="220"/>
        <w:spacing w:after="0" w:line="246" w:lineRule="auto"/>
        <w:rPr>
          <w:sz w:val="20"/>
          <w:szCs w:val="20"/>
          <w:color w:val="auto"/>
        </w:rPr>
      </w:pPr>
      <w:r>
        <w:rPr>
          <w:rFonts w:ascii="Times New Roman" w:cs="Times New Roman" w:eastAsia="Times New Roman" w:hAnsi="Times New Roman"/>
          <w:sz w:val="20"/>
          <w:szCs w:val="20"/>
          <w:color w:val="auto"/>
        </w:rPr>
        <w:t>McHugh management agreements may be terminated for cause, including the failure of the managed hotel to meet specified performance levels.</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i w:val="1"/>
          <w:iCs w:val="1"/>
          <w:color w:val="auto"/>
        </w:rPr>
        <w:t>Franchise Agreements</w:t>
      </w:r>
    </w:p>
    <w:p>
      <w:pPr>
        <w:spacing w:after="0" w:line="233" w:lineRule="exact"/>
        <w:rPr>
          <w:sz w:val="20"/>
          <w:szCs w:val="20"/>
          <w:color w:val="auto"/>
        </w:rPr>
      </w:pPr>
    </w:p>
    <w:p>
      <w:pPr>
        <w:ind w:left="160" w:firstLine="918"/>
        <w:spacing w:after="0" w:line="243" w:lineRule="auto"/>
        <w:rPr>
          <w:sz w:val="20"/>
          <w:szCs w:val="20"/>
          <w:color w:val="auto"/>
        </w:rPr>
      </w:pPr>
      <w:r>
        <w:rPr>
          <w:rFonts w:ascii="Times New Roman" w:cs="Times New Roman" w:eastAsia="Times New Roman" w:hAnsi="Times New Roman"/>
          <w:sz w:val="20"/>
          <w:szCs w:val="20"/>
          <w:color w:val="auto"/>
        </w:rPr>
        <w:t>The Company has entered into franchise agreements with Hilton Franchise Holding LLC ("Hilton"), an affiliate of Hilton Worldwide Holdings, Inc. These franchise agreements expire fifteen years after the effective date listed on the agreement. Each of the Hilton franchise agreements provide for franchise fees ranging from 3% to 6% of the respective hotel’s gross room revenue plus marketing fees ranging from 3% to 6% of the respective hotel’s gross room revenue. Each Hilton franchise agreement stipulates that periodic upgrades can be requested by Hilton and with the Company being responsible for the upgrade costs. Each of the Hilton franchise agreements are terminable by Hilton in the event that the applicable franchisee fails to cure an event of default or, in certain circumstances such as the franchisee’s bankruptcy or insolvency, are terminable by Hilton at will. If the franchise agreements are terminated, the Company would be responsible for paying a termination fee to Hilton. The Hilton franchise agreements provide that certain proposed transfers require notice to and/or consent from Hilton prior to the transfer.</w:t>
      </w:r>
    </w:p>
    <w:p>
      <w:pPr>
        <w:spacing w:after="0" w:line="195" w:lineRule="exact"/>
        <w:rPr>
          <w:sz w:val="20"/>
          <w:szCs w:val="20"/>
          <w:color w:val="auto"/>
        </w:rPr>
      </w:pPr>
    </w:p>
    <w:p>
      <w:pPr>
        <w:ind w:left="880" w:hanging="319"/>
        <w:spacing w:after="0"/>
        <w:tabs>
          <w:tab w:leader="none" w:pos="8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Related Party Transactions</w:t>
      </w:r>
    </w:p>
    <w:p>
      <w:pPr>
        <w:spacing w:after="0" w:line="233" w:lineRule="exact"/>
        <w:rPr>
          <w:sz w:val="20"/>
          <w:szCs w:val="20"/>
          <w:color w:val="auto"/>
        </w:rPr>
      </w:pPr>
    </w:p>
    <w:p>
      <w:pPr>
        <w:jc w:val="both"/>
        <w:ind w:left="160" w:firstLine="918"/>
        <w:spacing w:after="0" w:line="246" w:lineRule="auto"/>
        <w:rPr>
          <w:sz w:val="20"/>
          <w:szCs w:val="20"/>
          <w:color w:val="auto"/>
        </w:rPr>
      </w:pPr>
      <w:r>
        <w:rPr>
          <w:rFonts w:ascii="Times New Roman" w:cs="Times New Roman" w:eastAsia="Times New Roman" w:hAnsi="Times New Roman"/>
          <w:sz w:val="20"/>
          <w:szCs w:val="20"/>
          <w:color w:val="auto"/>
        </w:rPr>
        <w:t>As of December 31, 2025, all six hotels are managed by McHugh and have a high degree of common ownership with McHugh. Management fees incurred by the Company for the six hotels managed by McHugh for the year ended December 31, 2025 were $1,517 and are included in management fees in the combined statement of operations. The Company had an outstanding payable to McHugh in the amount of $113 in connection with the management fees within accounts payable and accrued expenses on the combined balance sheet for the year ended December 31, 2025.</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9" w:right="339" w:bottom="167" w:gutter="0" w:footer="0" w:header="0"/>
        </w:sectPr>
      </w:pPr>
    </w:p>
    <w:bookmarkStart w:id="15" w:name="page16"/>
    <w:bookmarkEnd w:id="15"/>
    <w:p>
      <w:pPr>
        <w:ind w:left="320" w:hanging="319"/>
        <w:spacing w:after="0"/>
        <w:tabs>
          <w:tab w:leader="none" w:pos="3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Subsequent Events</w:t>
      </w:r>
    </w:p>
    <w:p>
      <w:pPr>
        <w:spacing w:after="0" w:line="233" w:lineRule="exact"/>
        <w:rPr>
          <w:sz w:val="20"/>
          <w:szCs w:val="20"/>
          <w:color w:val="auto"/>
        </w:rPr>
      </w:pPr>
    </w:p>
    <w:p>
      <w:pPr>
        <w:ind w:left="180" w:firstLine="324"/>
        <w:spacing w:after="0" w:line="295" w:lineRule="auto"/>
        <w:rPr>
          <w:sz w:val="20"/>
          <w:szCs w:val="20"/>
          <w:color w:val="auto"/>
        </w:rPr>
      </w:pPr>
      <w:r>
        <w:rPr>
          <w:rFonts w:ascii="Times New Roman" w:cs="Times New Roman" w:eastAsia="Times New Roman" w:hAnsi="Times New Roman"/>
          <w:sz w:val="19"/>
          <w:szCs w:val="19"/>
          <w:color w:val="auto"/>
        </w:rPr>
        <w:t>On March 3, 2026, Chatham Lodging Trust completed its acquisition of the Company for a purchase price of $92.0 million (actual), or approximately $156,000 (actual) per room. All outstanding mortgage debt and accrued interest was paid off at closing.</w:t>
      </w:r>
    </w:p>
    <w:p>
      <w:pPr>
        <w:spacing w:after="0" w:line="151" w:lineRule="exact"/>
        <w:rPr>
          <w:sz w:val="20"/>
          <w:szCs w:val="20"/>
          <w:color w:val="auto"/>
        </w:rPr>
      </w:pPr>
    </w:p>
    <w:p>
      <w:pPr>
        <w:ind w:left="180" w:right="140" w:firstLine="324"/>
        <w:spacing w:after="0" w:line="254" w:lineRule="auto"/>
        <w:rPr>
          <w:sz w:val="20"/>
          <w:szCs w:val="20"/>
          <w:color w:val="auto"/>
        </w:rPr>
      </w:pPr>
      <w:r>
        <w:rPr>
          <w:rFonts w:ascii="Times New Roman" w:cs="Times New Roman" w:eastAsia="Times New Roman" w:hAnsi="Times New Roman"/>
          <w:sz w:val="20"/>
          <w:szCs w:val="20"/>
          <w:color w:val="auto"/>
        </w:rPr>
        <w:t>The Company has evaluated subsequent events from the balance sheet date through May 6, 2026, the date the combined financial statements were available to be issued, and concluded there were no other events or transactions during this period that required recognition or disclosure.</w:t>
      </w:r>
    </w:p>
    <w:p>
      <w:pPr>
        <w:spacing w:after="0" w:line="18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480"/>
          </w:cols>
          <w:pgMar w:left="880" w:top="572" w:right="5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2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b w:val="1"/>
          <w:bCs w:val="1"/>
          <w:color w:val="auto"/>
        </w:rPr>
        <w:t>Chatham Lodging Trust</w:t>
      </w:r>
    </w:p>
    <w:p>
      <w:pPr>
        <w:spacing w:after="0" w:line="229" w:lineRule="exact"/>
        <w:rPr>
          <w:sz w:val="20"/>
          <w:szCs w:val="20"/>
          <w:color w:val="auto"/>
        </w:rPr>
      </w:pPr>
    </w:p>
    <w:tbl>
      <w:tblPr>
        <w:tblLayout w:type="fixed"/>
        <w:tblInd w:w="1120" w:type="dxa"/>
        <w:tblCellMar>
          <w:top w:w="0" w:type="dxa"/>
          <w:left w:w="0" w:type="dxa"/>
          <w:bottom w:w="0" w:type="dxa"/>
          <w:right w:w="0" w:type="dxa"/>
        </w:tblCellMar>
      </w:tblPr>
      <w:tr>
        <w:trPr>
          <w:trHeight w:val="262"/>
        </w:trPr>
        <w:tc>
          <w:tcPr>
            <w:tcW w:w="6060" w:type="dxa"/>
            <w:vAlign w:val="bottom"/>
          </w:tcPr>
          <w:p>
            <w:pPr>
              <w:ind w:left="3000"/>
              <w:spacing w:after="0"/>
              <w:rPr>
                <w:sz w:val="20"/>
                <w:szCs w:val="20"/>
                <w:color w:val="auto"/>
              </w:rPr>
            </w:pPr>
            <w:r>
              <w:rPr>
                <w:rFonts w:ascii="Times New Roman" w:cs="Times New Roman" w:eastAsia="Times New Roman" w:hAnsi="Times New Roman"/>
                <w:sz w:val="20"/>
                <w:szCs w:val="20"/>
                <w:b w:val="1"/>
                <w:bCs w:val="1"/>
                <w:color w:val="auto"/>
              </w:rPr>
              <w:t>Contents</w:t>
            </w:r>
          </w:p>
        </w:tc>
        <w:tc>
          <w:tcPr>
            <w:tcW w:w="680" w:type="dxa"/>
            <w:vAlign w:val="bottom"/>
          </w:tcPr>
          <w:p>
            <w:pPr>
              <w:spacing w:after="0"/>
              <w:rPr>
                <w:sz w:val="22"/>
                <w:szCs w:val="22"/>
                <w:color w:val="auto"/>
              </w:rPr>
            </w:pPr>
          </w:p>
        </w:tc>
      </w:tr>
      <w:tr>
        <w:trPr>
          <w:trHeight w:val="453"/>
        </w:trPr>
        <w:tc>
          <w:tcPr>
            <w:tcW w:w="60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7"/>
        </w:trPr>
        <w:tc>
          <w:tcPr>
            <w:tcW w:w="60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20"/>
                <w:szCs w:val="20"/>
                <w:color w:val="auto"/>
              </w:rPr>
              <w:t>Unaudited Pro Forma Condensed Consolidated Financial Information</w:t>
            </w:r>
          </w:p>
        </w:tc>
        <w:tc>
          <w:tcPr>
            <w:tcW w:w="680" w:type="dxa"/>
            <w:vAlign w:val="bottom"/>
            <w:shd w:val="clear" w:color="auto" w:fill="CCEEFF"/>
          </w:tcPr>
          <w:p>
            <w:pPr>
              <w:spacing w:after="0"/>
              <w:rPr>
                <w:sz w:val="17"/>
                <w:szCs w:val="17"/>
                <w:color w:val="auto"/>
              </w:rPr>
            </w:pPr>
          </w:p>
        </w:tc>
      </w:tr>
      <w:tr>
        <w:trPr>
          <w:trHeight w:val="25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of Chatham Lodging Trust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 Forma Condensed Consolidated Financial Statements</w:t>
            </w:r>
          </w:p>
        </w:tc>
        <w:tc>
          <w:tcPr>
            <w:tcW w:w="680" w:type="dxa"/>
            <w:vAlign w:val="bottom"/>
          </w:tcPr>
          <w:p>
            <w:pPr>
              <w:spacing w:after="0"/>
              <w:rPr>
                <w:sz w:val="19"/>
                <w:szCs w:val="19"/>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Pro Forma Condensed Consolidated Balance Sheet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29"/>
        </w:trPr>
        <w:tc>
          <w:tcPr>
            <w:tcW w:w="60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Notes to Pro Forma Condensed Consolidated Balance Sheet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29"/>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Pro Forma Condensed Consolidated Statement of Operations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07"/>
        </w:trPr>
        <w:tc>
          <w:tcPr>
            <w:tcW w:w="6060" w:type="dxa"/>
            <w:vAlign w:val="bottom"/>
          </w:tcPr>
          <w:p>
            <w:pPr>
              <w:ind w:left="180"/>
              <w:spacing w:after="0" w:line="207" w:lineRule="exact"/>
              <w:rPr>
                <w:sz w:val="20"/>
                <w:szCs w:val="20"/>
                <w:color w:val="auto"/>
              </w:rPr>
            </w:pPr>
            <w:r>
              <w:rPr>
                <w:rFonts w:ascii="Times New Roman" w:cs="Times New Roman" w:eastAsia="Times New Roman" w:hAnsi="Times New Roman"/>
                <w:sz w:val="20"/>
                <w:szCs w:val="20"/>
                <w:color w:val="auto"/>
              </w:rPr>
              <w:t>Notes to Pro Forma Condensed Consolidated Statement of</w:t>
            </w:r>
          </w:p>
        </w:tc>
        <w:tc>
          <w:tcPr>
            <w:tcW w:w="680" w:type="dxa"/>
            <w:vAlign w:val="bottom"/>
          </w:tcPr>
          <w:p>
            <w:pPr>
              <w:spacing w:after="0"/>
              <w:rPr>
                <w:sz w:val="17"/>
                <w:szCs w:val="17"/>
                <w:color w:val="auto"/>
              </w:rPr>
            </w:pPr>
          </w:p>
        </w:tc>
      </w:tr>
      <w:tr>
        <w:trPr>
          <w:trHeight w:val="258"/>
        </w:trPr>
        <w:tc>
          <w:tcPr>
            <w:tcW w:w="6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9"/>
          <w:szCs w:val="19"/>
          <w:b w:val="1"/>
          <w:bCs w:val="1"/>
          <w:color w:val="auto"/>
        </w:rPr>
        <w:t>UNAUDITED PRO FORMA CONDENSED CONSOLIDATED FINANCIAL INFORMATION OF CHATHAM LODGING TRUST</w:t>
      </w:r>
    </w:p>
    <w:p>
      <w:pPr>
        <w:sectPr>
          <w:pgSz w:w="11900" w:h="16838" w:orient="portrait"/>
          <w:cols w:equalWidth="0" w:num="1">
            <w:col w:w="11200"/>
          </w:cols>
          <w:pgMar w:left="340" w:top="801" w:right="359" w:bottom="1440" w:gutter="0" w:footer="0" w:header="0"/>
        </w:sectPr>
      </w:pPr>
    </w:p>
    <w:p>
      <w:pPr>
        <w:spacing w:after="0" w:line="245" w:lineRule="exact"/>
        <w:rPr>
          <w:sz w:val="20"/>
          <w:szCs w:val="20"/>
          <w:color w:val="auto"/>
        </w:rPr>
      </w:pPr>
    </w:p>
    <w:p>
      <w:pPr>
        <w:ind w:left="140" w:right="60" w:firstLine="378"/>
        <w:spacing w:after="0" w:line="249" w:lineRule="auto"/>
        <w:rPr>
          <w:sz w:val="20"/>
          <w:szCs w:val="20"/>
          <w:color w:val="auto"/>
        </w:rPr>
      </w:pPr>
      <w:r>
        <w:rPr>
          <w:rFonts w:ascii="Times New Roman" w:cs="Times New Roman" w:eastAsia="Times New Roman" w:hAnsi="Times New Roman"/>
          <w:sz w:val="20"/>
          <w:szCs w:val="20"/>
          <w:color w:val="auto"/>
        </w:rPr>
        <w:t>On March 3, 2026, Chatham Lodging Trust ("Chatham") acquired a portfolio of six Hilton-brand hotels located in Missouri, Illinois, and Kentucky (the “Midwest Hotel Portfolio”) for $92.0 million and was funded with available cash and borrowings on its revolving credit facility. The Midwest Hotel Portfolio is comprised of an aggregate of 589 rooms and subsequent to the acquisition date, all six hotels are managed by Island Hospitality Management, LLC.</w:t>
      </w:r>
    </w:p>
    <w:p>
      <w:pPr>
        <w:spacing w:after="0" w:line="193" w:lineRule="exact"/>
        <w:rPr>
          <w:sz w:val="20"/>
          <w:szCs w:val="20"/>
          <w:color w:val="auto"/>
        </w:rPr>
      </w:pPr>
    </w:p>
    <w:p>
      <w:pPr>
        <w:ind w:left="140" w:firstLine="378"/>
        <w:spacing w:after="0" w:line="249" w:lineRule="auto"/>
        <w:rPr>
          <w:sz w:val="20"/>
          <w:szCs w:val="20"/>
          <w:color w:val="auto"/>
        </w:rPr>
      </w:pPr>
      <w:r>
        <w:rPr>
          <w:rFonts w:ascii="Times New Roman" w:cs="Times New Roman" w:eastAsia="Times New Roman" w:hAnsi="Times New Roman"/>
          <w:sz w:val="20"/>
          <w:szCs w:val="20"/>
          <w:color w:val="auto"/>
        </w:rPr>
        <w:t>The estimated fair values for the assets acquired are preliminary and are subject to change during the measurement period as additional information related to the inputs and assumptions used in determining the fair value of the assets becomes available and may result in variances to the amounts presented in the unaudited pro forma condensed consolidated balance sheet and the unaudited pro forma condensed consolidated statement of operations.</w:t>
      </w:r>
    </w:p>
    <w:p>
      <w:pPr>
        <w:spacing w:after="0" w:line="193" w:lineRule="exact"/>
        <w:rPr>
          <w:sz w:val="20"/>
          <w:szCs w:val="20"/>
          <w:color w:val="auto"/>
        </w:rPr>
      </w:pPr>
    </w:p>
    <w:p>
      <w:pPr>
        <w:ind w:left="140" w:right="100" w:firstLine="378"/>
        <w:spacing w:after="0" w:line="254" w:lineRule="auto"/>
        <w:rPr>
          <w:sz w:val="20"/>
          <w:szCs w:val="20"/>
          <w:color w:val="auto"/>
        </w:rPr>
      </w:pPr>
      <w:r>
        <w:rPr>
          <w:rFonts w:ascii="Times New Roman" w:cs="Times New Roman" w:eastAsia="Times New Roman" w:hAnsi="Times New Roman"/>
          <w:sz w:val="20"/>
          <w:szCs w:val="20"/>
          <w:color w:val="auto"/>
        </w:rPr>
        <w:t>The unaudited pro forma condensed consolidated balance sheet as of December 31, 2025 is presented as if the acquisition was completed on December 31, 2025. The unaudited pro forma condensed consolidated statement of income for the year ended December 31, 2025 is presented as if the acquisition was completed on January 1, 2025.</w:t>
      </w:r>
    </w:p>
    <w:p>
      <w:pPr>
        <w:spacing w:after="0" w:line="188" w:lineRule="exact"/>
        <w:rPr>
          <w:sz w:val="20"/>
          <w:szCs w:val="20"/>
          <w:color w:val="auto"/>
        </w:rPr>
      </w:pPr>
    </w:p>
    <w:p>
      <w:pPr>
        <w:ind w:left="140" w:right="100" w:firstLine="378"/>
        <w:spacing w:after="0" w:line="243" w:lineRule="auto"/>
        <w:rPr>
          <w:sz w:val="20"/>
          <w:szCs w:val="20"/>
          <w:color w:val="auto"/>
        </w:rPr>
      </w:pPr>
      <w:r>
        <w:rPr>
          <w:rFonts w:ascii="Times New Roman" w:cs="Times New Roman" w:eastAsia="Times New Roman" w:hAnsi="Times New Roman"/>
          <w:sz w:val="20"/>
          <w:szCs w:val="20"/>
          <w:color w:val="auto"/>
        </w:rPr>
        <w:t>The unaudited pro forma condensed consolidated financial information is not necessarily indicative of what Chatham’s results of operations or financial condition would have been assuming such transactions had been completed at the dates described above, nor is it indicative of Chatham’s results of operations or financial condition for future periods. In management’s opinion, all material adjustments necessary to reflect the effects of the significant acquisition described above have been made. In addition, the unaudited pro forma condensed consolidated financial information is based upon available information and upon assumptions and estimates, some of which are set forth in the notes to the unaudited pro forma condensed consolidated financial information, which we believe are reasonable under the circumstances. The unaudited pro forma condensed consolidated financial information and accompanying notes should be read in conjunction with the historical financial statements and notes thereto in Chatham’s 2025 Annual Report on Form 10-K and Chatham's Current Report on Form 8-K filed on March 6, 2026.</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01" w:right="359" w:bottom="1440" w:gutter="0" w:footer="0" w:header="0"/>
          <w:type w:val="continuous"/>
        </w:sectPr>
      </w:pPr>
    </w:p>
    <w:bookmarkStart w:id="18" w:name="page19"/>
    <w:bookmarkEnd w:id="18"/>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CHATHAM LODGING TRUST</w:t>
      </w:r>
    </w:p>
    <w:p>
      <w:pPr>
        <w:spacing w:after="0" w:line="200" w:lineRule="exact"/>
        <w:rPr>
          <w:sz w:val="20"/>
          <w:szCs w:val="20"/>
          <w:color w:val="auto"/>
        </w:rPr>
      </w:pPr>
    </w:p>
    <w:p>
      <w:pPr>
        <w:spacing w:after="0" w:line="25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b w:val="1"/>
          <w:bCs w:val="1"/>
          <w:color w:val="auto"/>
        </w:rPr>
        <w:t>UNAUDITED PRO FORMA CONDENSED CONSOLIDATED BALANCE SHEET</w:t>
      </w:r>
    </w:p>
    <w:p>
      <w:pPr>
        <w:spacing w:after="0" w:line="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AS OF DECEMBER 31, 2025</w:t>
      </w:r>
    </w:p>
    <w:p>
      <w:pPr>
        <w:ind w:left="3180"/>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7"/>
              </w:rPr>
              <w:t>Chatham</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43"/>
              <w:spacing w:after="0"/>
              <w:rPr>
                <w:sz w:val="20"/>
                <w:szCs w:val="20"/>
                <w:color w:val="auto"/>
              </w:rPr>
            </w:pPr>
            <w:r>
              <w:rPr>
                <w:rFonts w:ascii="Times New Roman" w:cs="Times New Roman" w:eastAsia="Times New Roman" w:hAnsi="Times New Roman"/>
                <w:sz w:val="20"/>
                <w:szCs w:val="20"/>
                <w:b w:val="1"/>
                <w:bCs w:val="1"/>
                <w:color w:val="auto"/>
              </w:rPr>
              <w:t>Pro Forma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8"/>
              </w:rPr>
              <w:t>Lodging</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Acquisition of</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43"/>
              <w:spacing w:after="0"/>
              <w:rPr>
                <w:sz w:val="20"/>
                <w:szCs w:val="20"/>
                <w:color w:val="auto"/>
              </w:rPr>
            </w:pPr>
            <w:r>
              <w:rPr>
                <w:rFonts w:ascii="Times New Roman" w:cs="Times New Roman" w:eastAsia="Times New Roman" w:hAnsi="Times New Roman"/>
                <w:sz w:val="20"/>
                <w:szCs w:val="20"/>
                <w:b w:val="1"/>
                <w:bCs w:val="1"/>
                <w:color w:val="auto"/>
                <w:w w:val="97"/>
              </w:rPr>
              <w:t>Chatham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w w:val="99"/>
              </w:rPr>
              <w:t>Trust Historical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7"/>
              </w:rPr>
              <w:t>Midwest Hotel</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3"/>
              </w:rPr>
              <w:t>(A)</w:t>
            </w: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Portfolio</w:t>
            </w:r>
          </w:p>
        </w:tc>
        <w:tc>
          <w:tcPr>
            <w:tcW w:w="2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20"/>
                <w:szCs w:val="20"/>
                <w:b w:val="1"/>
                <w:bCs w:val="1"/>
                <w:color w:val="auto"/>
                <w:w w:val="98"/>
              </w:rPr>
              <w:t>Lodging Trust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Assets: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Investment in hotel properties, net</w:t>
            </w: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1,106,890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92,458</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B  </w:t>
            </w:r>
            <w:r>
              <w:rPr>
                <w:rFonts w:ascii="Times New Roman" w:cs="Times New Roman" w:eastAsia="Times New Roman" w:hAnsi="Times New Roman"/>
                <w:sz w:val="20"/>
                <w:szCs w:val="20"/>
                <w:color w:val="auto"/>
              </w:rPr>
              <w:t>$</w:t>
            </w: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1,199,348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24,435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(2,458)</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21,977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Restricted cash</w:t>
            </w:r>
          </w:p>
        </w:tc>
        <w:tc>
          <w:tcPr>
            <w:tcW w:w="20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8,203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8,203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Right of use asset,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16,912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16,912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60" w:type="dxa"/>
            <w:vAlign w:val="bottom"/>
          </w:tcPr>
          <w:p>
            <w:pPr>
              <w:ind w:left="160"/>
              <w:spacing w:after="0" w:line="207" w:lineRule="exact"/>
              <w:rPr>
                <w:sz w:val="20"/>
                <w:szCs w:val="20"/>
                <w:color w:val="auto"/>
              </w:rPr>
            </w:pPr>
            <w:r>
              <w:rPr>
                <w:rFonts w:ascii="Times New Roman" w:cs="Times New Roman" w:eastAsia="Times New Roman" w:hAnsi="Times New Roman"/>
                <w:sz w:val="20"/>
                <w:szCs w:val="20"/>
                <w:color w:val="auto"/>
              </w:rPr>
              <w:t>Hotel receivables (net of allowance for doubtful accounts of</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$261 and $300, respectively)</w:t>
            </w:r>
          </w:p>
        </w:tc>
        <w:tc>
          <w:tcPr>
            <w:tcW w:w="20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2,831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Deferred costs,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7,384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7,384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3,726</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3,726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60" w:type="dxa"/>
            <w:vAlign w:val="bottom"/>
            <w:shd w:val="clear" w:color="auto" w:fill="CCEEFF"/>
          </w:tcPr>
          <w:p>
            <w:pPr>
              <w:ind w:left="480"/>
              <w:spacing w:after="0" w:line="223" w:lineRule="exact"/>
              <w:rPr>
                <w:sz w:val="20"/>
                <w:szCs w:val="20"/>
                <w:color w:val="auto"/>
              </w:rPr>
            </w:pPr>
            <w:r>
              <w:rPr>
                <w:rFonts w:ascii="Times New Roman" w:cs="Times New Roman" w:eastAsia="Times New Roman" w:hAnsi="Times New Roman"/>
                <w:sz w:val="20"/>
                <w:szCs w:val="20"/>
                <w:color w:val="auto"/>
              </w:rPr>
              <w:t>Total assets</w:t>
            </w:r>
          </w:p>
        </w:tc>
        <w:tc>
          <w:tcPr>
            <w:tcW w:w="2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1,170,381</w:t>
            </w:r>
          </w:p>
        </w:tc>
        <w:tc>
          <w:tcPr>
            <w:tcW w:w="20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CCEEF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90,000</w:t>
            </w:r>
          </w:p>
        </w:tc>
        <w:tc>
          <w:tcPr>
            <w:tcW w:w="460" w:type="dxa"/>
            <w:vAlign w:val="bottom"/>
            <w:gridSpan w:val="3"/>
            <w:shd w:val="clear" w:color="auto" w:fill="CCEEFF"/>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440" w:type="dxa"/>
            <w:vAlign w:val="bottom"/>
            <w:shd w:val="clear" w:color="auto" w:fill="CCEEFF"/>
          </w:tcPr>
          <w:p>
            <w:pPr>
              <w:jc w:val="right"/>
              <w:ind w:right="3"/>
              <w:spacing w:after="0" w:line="223" w:lineRule="exact"/>
              <w:rPr>
                <w:sz w:val="20"/>
                <w:szCs w:val="20"/>
                <w:color w:val="auto"/>
              </w:rPr>
            </w:pPr>
            <w:r>
              <w:rPr>
                <w:rFonts w:ascii="Times New Roman" w:cs="Times New Roman" w:eastAsia="Times New Roman" w:hAnsi="Times New Roman"/>
                <w:sz w:val="20"/>
                <w:szCs w:val="20"/>
                <w:color w:val="auto"/>
              </w:rPr>
              <w:t>1,260,381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Mortgage debt, net</w:t>
            </w:r>
          </w:p>
        </w:tc>
        <w:tc>
          <w:tcPr>
            <w:tcW w:w="20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141,475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141,475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Revolving credit facility</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90,000</w:t>
            </w:r>
          </w:p>
        </w:tc>
        <w:tc>
          <w:tcPr>
            <w:tcW w:w="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w w:val="96"/>
              </w:rPr>
              <w:t>C</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90,000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Unsecured term loan, net</w:t>
            </w:r>
          </w:p>
        </w:tc>
        <w:tc>
          <w:tcPr>
            <w:tcW w:w="20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197,438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197,438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60" w:type="dxa"/>
            <w:vAlign w:val="bottom"/>
            <w:shd w:val="clear" w:color="auto" w:fill="CCEEFF"/>
          </w:tcPr>
          <w:p>
            <w:pPr>
              <w:ind w:left="160"/>
              <w:spacing w:after="0" w:line="207" w:lineRule="exact"/>
              <w:rPr>
                <w:sz w:val="20"/>
                <w:szCs w:val="20"/>
                <w:color w:val="auto"/>
              </w:rPr>
            </w:pPr>
            <w:r>
              <w:rPr>
                <w:rFonts w:ascii="Times New Roman" w:cs="Times New Roman" w:eastAsia="Times New Roman" w:hAnsi="Times New Roman"/>
                <w:sz w:val="20"/>
                <w:szCs w:val="20"/>
                <w:color w:val="auto"/>
              </w:rPr>
              <w:t>Accounts payable and accrued expenses (including $234 and</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$490 due to related parties, respectively)</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26,648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26,648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Lease liability</w:t>
            </w:r>
          </w:p>
        </w:tc>
        <w:tc>
          <w:tcPr>
            <w:tcW w:w="20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20,067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20,067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Distributions payable</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6,704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6,704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80"/>
              <w:spacing w:after="0" w:line="223" w:lineRule="exact"/>
              <w:rPr>
                <w:sz w:val="20"/>
                <w:szCs w:val="20"/>
                <w:color w:val="auto"/>
              </w:rPr>
            </w:pPr>
            <w:r>
              <w:rPr>
                <w:rFonts w:ascii="Times New Roman" w:cs="Times New Roman" w:eastAsia="Times New Roman" w:hAnsi="Times New Roman"/>
                <w:sz w:val="20"/>
                <w:szCs w:val="20"/>
                <w:color w:val="auto"/>
              </w:rPr>
              <w:t>Total liabilities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392,332</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90,000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
              <w:spacing w:after="0" w:line="223" w:lineRule="exact"/>
              <w:rPr>
                <w:sz w:val="20"/>
                <w:szCs w:val="20"/>
                <w:color w:val="auto"/>
              </w:rPr>
            </w:pPr>
            <w:r>
              <w:rPr>
                <w:rFonts w:ascii="Times New Roman" w:cs="Times New Roman" w:eastAsia="Times New Roman" w:hAnsi="Times New Roman"/>
                <w:sz w:val="20"/>
                <w:szCs w:val="20"/>
                <w:color w:val="auto"/>
              </w:rPr>
              <w:t>482,332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Shareholders’ Equity:</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60" w:type="dxa"/>
            <w:vAlign w:val="bottom"/>
          </w:tcPr>
          <w:p>
            <w:pPr>
              <w:ind w:left="160"/>
              <w:spacing w:after="0" w:line="207" w:lineRule="exact"/>
              <w:rPr>
                <w:sz w:val="20"/>
                <w:szCs w:val="20"/>
                <w:color w:val="auto"/>
              </w:rPr>
            </w:pPr>
            <w:r>
              <w:rPr>
                <w:rFonts w:ascii="Times New Roman" w:cs="Times New Roman" w:eastAsia="Times New Roman" w:hAnsi="Times New Roman"/>
                <w:sz w:val="20"/>
                <w:szCs w:val="20"/>
                <w:color w:val="auto"/>
              </w:rPr>
              <w:t>Preferred shares, $0.01 par value, 100,000,000 shares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authorized; 4,800,000 and 4,800,000 shares issued and</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at December 31, 2025 and 2024, respectively</w:t>
            </w:r>
          </w:p>
        </w:tc>
        <w:tc>
          <w:tcPr>
            <w:tcW w:w="20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60" w:type="dxa"/>
            <w:vAlign w:val="bottom"/>
            <w:shd w:val="clear" w:color="auto" w:fill="CCEEFF"/>
          </w:tcPr>
          <w:p>
            <w:pPr>
              <w:ind w:left="160"/>
              <w:spacing w:after="0" w:line="207" w:lineRule="exact"/>
              <w:rPr>
                <w:sz w:val="20"/>
                <w:szCs w:val="20"/>
                <w:color w:val="auto"/>
              </w:rPr>
            </w:pPr>
            <w:r>
              <w:rPr>
                <w:rFonts w:ascii="Times New Roman" w:cs="Times New Roman" w:eastAsia="Times New Roman" w:hAnsi="Times New Roman"/>
                <w:sz w:val="20"/>
                <w:szCs w:val="20"/>
                <w:color w:val="auto"/>
              </w:rPr>
              <w:t>Common shares, $0.01 par value, 500,000,000 shares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authorized; 47,708,587 and 48,912,293 shares issued and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outstanding at December 31, 2025 and 2024, respectively</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477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477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0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1,039,804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1,039,804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Accumulated deficit</w:t>
            </w: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(299,527)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6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440" w:type="dxa"/>
            <w:vAlign w:val="bottom"/>
            <w:tcBorders>
              <w:bottom w:val="single" w:sz="8" w:color="auto"/>
            </w:tcBorders>
            <w:shd w:val="clear" w:color="auto" w:fill="CCEEFF"/>
          </w:tcPr>
          <w:p>
            <w:pPr>
              <w:jc w:val="right"/>
              <w:ind w:right="3"/>
              <w:spacing w:after="0" w:line="68" w:lineRule="exact"/>
              <w:rPr>
                <w:sz w:val="20"/>
                <w:szCs w:val="20"/>
                <w:color w:val="auto"/>
              </w:rPr>
            </w:pPr>
            <w:r>
              <w:rPr>
                <w:rFonts w:ascii="Times New Roman" w:cs="Times New Roman" w:eastAsia="Times New Roman" w:hAnsi="Times New Roman"/>
                <w:sz w:val="7"/>
                <w:szCs w:val="7"/>
                <w:color w:val="auto"/>
              </w:rPr>
              <w:t>(299,527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320"/>
              <w:spacing w:after="0" w:line="223" w:lineRule="exact"/>
              <w:rPr>
                <w:sz w:val="20"/>
                <w:szCs w:val="20"/>
                <w:color w:val="auto"/>
              </w:rPr>
            </w:pPr>
            <w:r>
              <w:rPr>
                <w:rFonts w:ascii="Times New Roman" w:cs="Times New Roman" w:eastAsia="Times New Roman" w:hAnsi="Times New Roman"/>
                <w:sz w:val="20"/>
                <w:szCs w:val="20"/>
                <w:color w:val="auto"/>
              </w:rPr>
              <w:t>Total shareholders’ equity</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740,802</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
              <w:spacing w:after="0" w:line="223" w:lineRule="exact"/>
              <w:rPr>
                <w:sz w:val="20"/>
                <w:szCs w:val="20"/>
                <w:color w:val="auto"/>
              </w:rPr>
            </w:pPr>
            <w:r>
              <w:rPr>
                <w:rFonts w:ascii="Times New Roman" w:cs="Times New Roman" w:eastAsia="Times New Roman" w:hAnsi="Times New Roman"/>
                <w:sz w:val="20"/>
                <w:szCs w:val="20"/>
                <w:color w:val="auto"/>
              </w:rPr>
              <w:t>740,802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Noncontrolling Interests: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Noncontrolling interest in operating partnership</w:t>
            </w:r>
          </w:p>
        </w:tc>
        <w:tc>
          <w:tcPr>
            <w:tcW w:w="20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37,247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37,247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778,049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20"/>
                <w:szCs w:val="20"/>
                <w:color w:val="auto"/>
              </w:rPr>
              <w:t>778,049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Total liabilities and equity</w:t>
            </w: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1,170,381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90,000</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1,260,381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condensed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79375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880" w:top="585" w:right="899" w:bottom="1440" w:gutter="0" w:footer="0" w:header="0"/>
        </w:sectPr>
      </w:pPr>
    </w:p>
    <w:bookmarkStart w:id="19" w:name="page20"/>
    <w:bookmarkEnd w:id="19"/>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UNAUDITED PRO FORMA CONDENSED CONSOLIDATED BALANCE SHEET</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Unaudited Pro Forma Condensed Consolidated Balance Sheet assumes the following occurred on December 31, 2025:</w:t>
      </w:r>
    </w:p>
    <w:p>
      <w:pPr>
        <w:spacing w:after="0" w:line="229" w:lineRule="exact"/>
        <w:rPr>
          <w:sz w:val="20"/>
          <w:szCs w:val="20"/>
          <w:color w:val="auto"/>
        </w:rPr>
      </w:pPr>
    </w:p>
    <w:p>
      <w:pPr>
        <w:ind w:left="840" w:hanging="331"/>
        <w:spacing w:after="0"/>
        <w:tabs>
          <w:tab w:leader="none" w:pos="8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color w:val="auto"/>
        </w:rPr>
        <w:t>Acquisition costs of approximately $458 have been capitalized related to the acquisition of the Midwest Hotel Portfolio.</w:t>
      </w:r>
    </w:p>
    <w:p>
      <w:pPr>
        <w:spacing w:after="0" w:line="21" w:lineRule="exact"/>
        <w:rPr>
          <w:rFonts w:ascii="Times New Roman" w:cs="Times New Roman" w:eastAsia="Times New Roman" w:hAnsi="Times New Roman"/>
          <w:sz w:val="16"/>
          <w:szCs w:val="16"/>
          <w:color w:val="auto"/>
        </w:rPr>
      </w:pPr>
    </w:p>
    <w:p>
      <w:pPr>
        <w:ind w:left="840" w:hanging="331"/>
        <w:spacing w:after="0"/>
        <w:tabs>
          <w:tab w:leader="none" w:pos="8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color w:val="auto"/>
        </w:rPr>
        <w:t>Increased borrowings on the unsecured revolving credit facility of $90.0 million (actual).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Notes and Management Assumptions:</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 Chatham’s audited historical consolidated balance sheet as of December 31, 2025.</w:t>
      </w:r>
    </w:p>
    <w:p>
      <w:pPr>
        <w:spacing w:after="0" w:line="243" w:lineRule="exact"/>
        <w:rPr>
          <w:sz w:val="20"/>
          <w:szCs w:val="20"/>
          <w:color w:val="auto"/>
        </w:rPr>
      </w:pPr>
    </w:p>
    <w:p>
      <w:pPr>
        <w:ind w:left="420" w:hanging="229"/>
        <w:spacing w:after="0" w:line="269" w:lineRule="auto"/>
        <w:rPr>
          <w:sz w:val="20"/>
          <w:szCs w:val="20"/>
          <w:color w:val="auto"/>
        </w:rPr>
      </w:pPr>
      <w:r>
        <w:rPr>
          <w:rFonts w:ascii="Times New Roman" w:cs="Times New Roman" w:eastAsia="Times New Roman" w:hAnsi="Times New Roman"/>
          <w:sz w:val="20"/>
          <w:szCs w:val="20"/>
          <w:color w:val="auto"/>
        </w:rPr>
        <w:t>B. The following table includes the preliminary allocation of the purchase price for the Portfolio based on the estimated fair value of the assets acquired.</w:t>
      </w:r>
    </w:p>
    <w:p>
      <w:pPr>
        <w:spacing w:after="0" w:line="182" w:lineRule="exact"/>
        <w:rPr>
          <w:sz w:val="20"/>
          <w:szCs w:val="20"/>
          <w:color w:val="auto"/>
        </w:rPr>
      </w:pPr>
    </w:p>
    <w:tbl>
      <w:tblPr>
        <w:tblLayout w:type="fixed"/>
        <w:tblInd w:w="266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As of March</w:t>
            </w:r>
          </w:p>
        </w:tc>
      </w:tr>
      <w:tr>
        <w:trPr>
          <w:trHeight w:val="256"/>
        </w:trPr>
        <w:tc>
          <w:tcPr>
            <w:tcW w:w="4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3, 2026</w:t>
            </w:r>
          </w:p>
        </w:tc>
      </w:tr>
      <w:tr>
        <w:trPr>
          <w:trHeight w:val="223"/>
        </w:trPr>
        <w:tc>
          <w:tcPr>
            <w:tcW w:w="45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Land and improvements</w:t>
            </w:r>
          </w:p>
        </w:tc>
        <w:tc>
          <w:tcPr>
            <w:tcW w:w="1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9,080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Building and improvements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72,801</w:t>
            </w:r>
          </w:p>
        </w:tc>
      </w:tr>
      <w:tr>
        <w:trPr>
          <w:trHeight w:val="243"/>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10,577</w:t>
            </w:r>
          </w:p>
        </w:tc>
      </w:tr>
      <w:tr>
        <w:trPr>
          <w:trHeight w:val="263"/>
        </w:trPr>
        <w:tc>
          <w:tcPr>
            <w:tcW w:w="4560" w:type="dxa"/>
            <w:vAlign w:val="bottom"/>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92,458</w:t>
            </w: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20" w:right="80" w:hanging="229"/>
        <w:spacing w:after="0" w:line="269" w:lineRule="auto"/>
        <w:rPr>
          <w:sz w:val="20"/>
          <w:szCs w:val="20"/>
          <w:color w:val="auto"/>
        </w:rPr>
      </w:pPr>
      <w:r>
        <w:rPr>
          <w:rFonts w:ascii="Times New Roman" w:cs="Times New Roman" w:eastAsia="Times New Roman" w:hAnsi="Times New Roman"/>
          <w:sz w:val="20"/>
          <w:szCs w:val="20"/>
          <w:color w:val="auto"/>
        </w:rPr>
        <w:t>C. Assumed $90.0 million (actual) borrowed on Chatham's unsecured revolving credit facility to complete the Midwest Hotel Portfolio transaction. The variable interest rate was 5.74% at December 31, 2025.</w:t>
      </w: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79375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80" w:top="585" w:right="459" w:bottom="1440" w:gutter="0" w:footer="0" w:header="0"/>
        </w:sectPr>
      </w:pPr>
    </w:p>
    <w:bookmarkStart w:id="20" w:name="page21"/>
    <w:bookmarkEnd w:id="20"/>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CHATHAM LODGING TRUST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PRO FORMA CONDENSED CONSOLIDATED STATEMENT OF OPERATIONS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9"/>
              </w:rPr>
              <w:t>Chatham</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8"/>
              </w:rPr>
              <w:t>Midwest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Transaction</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183"/>
              <w:spacing w:after="0"/>
              <w:rPr>
                <w:sz w:val="20"/>
                <w:szCs w:val="20"/>
                <w:color w:val="auto"/>
              </w:rPr>
            </w:pPr>
            <w:r>
              <w:rPr>
                <w:rFonts w:ascii="Times New Roman" w:cs="Times New Roman" w:eastAsia="Times New Roman" w:hAnsi="Times New Roman"/>
                <w:sz w:val="20"/>
                <w:szCs w:val="20"/>
                <w:b w:val="1"/>
                <w:bCs w:val="1"/>
                <w:color w:val="auto"/>
                <w:w w:val="99"/>
              </w:rPr>
              <w:t>Chatham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8"/>
              </w:rPr>
              <w:t>Hotel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Lodging Trust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Portfolio</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Pro Forma</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2"/>
          </w:tcPr>
          <w:p>
            <w:pPr>
              <w:jc w:val="center"/>
              <w:ind w:right="43"/>
              <w:spacing w:after="0"/>
              <w:rPr>
                <w:sz w:val="20"/>
                <w:szCs w:val="20"/>
                <w:color w:val="auto"/>
              </w:rPr>
            </w:pPr>
            <w:r>
              <w:rPr>
                <w:rFonts w:ascii="Times New Roman" w:cs="Times New Roman" w:eastAsia="Times New Roman" w:hAnsi="Times New Roman"/>
                <w:sz w:val="20"/>
                <w:szCs w:val="20"/>
                <w:b w:val="1"/>
                <w:bCs w:val="1"/>
                <w:color w:val="auto"/>
                <w:w w:val="96"/>
              </w:rPr>
              <w:t>Lodging Trust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Historical (A)</w:t>
            </w:r>
          </w:p>
        </w:tc>
        <w:tc>
          <w:tcPr>
            <w:tcW w:w="120" w:type="dxa"/>
            <w:vAlign w:val="bottom"/>
          </w:tcPr>
          <w:p>
            <w:pPr>
              <w:spacing w:after="0"/>
              <w:rPr>
                <w:sz w:val="22"/>
                <w:szCs w:val="22"/>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Historical (B)</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Adjustments</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center"/>
              <w:ind w:right="183"/>
              <w:spacing w:after="0"/>
              <w:rPr>
                <w:sz w:val="20"/>
                <w:szCs w:val="20"/>
                <w:color w:val="auto"/>
              </w:rPr>
            </w:pPr>
            <w:r>
              <w:rPr>
                <w:rFonts w:ascii="Times New Roman" w:cs="Times New Roman" w:eastAsia="Times New Roman" w:hAnsi="Times New Roman"/>
                <w:sz w:val="20"/>
                <w:szCs w:val="20"/>
                <w:b w:val="1"/>
                <w:bCs w:val="1"/>
                <w:color w:val="auto"/>
                <w:w w:val="97"/>
              </w:rPr>
              <w:t>Pro Forma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Room</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269,206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24,842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294,048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Food and beverage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6,894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20"/>
                <w:szCs w:val="20"/>
                <w:color w:val="auto"/>
              </w:rPr>
              <w:t>6,894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Other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17,897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18,337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Reimbursable costs from related parties</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1,078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20"/>
                <w:szCs w:val="20"/>
                <w:color w:val="auto"/>
              </w:rPr>
              <w:t>1,078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640"/>
              <w:spacing w:after="0" w:line="223" w:lineRule="exact"/>
              <w:rPr>
                <w:sz w:val="20"/>
                <w:szCs w:val="20"/>
                <w:color w:val="auto"/>
              </w:rPr>
            </w:pPr>
            <w:r>
              <w:rPr>
                <w:rFonts w:ascii="Times New Roman" w:cs="Times New Roman" w:eastAsia="Times New Roman" w:hAnsi="Times New Roman"/>
                <w:sz w:val="20"/>
                <w:szCs w:val="20"/>
                <w:color w:val="auto"/>
              </w:rPr>
              <w:t>Total revenue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295,075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25,282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
              <w:spacing w:after="0" w:line="223" w:lineRule="exact"/>
              <w:rPr>
                <w:sz w:val="20"/>
                <w:szCs w:val="20"/>
                <w:color w:val="auto"/>
              </w:rPr>
            </w:pPr>
            <w:r>
              <w:rPr>
                <w:rFonts w:ascii="Times New Roman" w:cs="Times New Roman" w:eastAsia="Times New Roman" w:hAnsi="Times New Roman"/>
                <w:sz w:val="20"/>
                <w:szCs w:val="20"/>
                <w:color w:val="auto"/>
              </w:rPr>
              <w:t>320,357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Hotel operating expenses: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Room</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59,752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64,874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Food and beverage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5,517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20"/>
                <w:szCs w:val="20"/>
                <w:color w:val="auto"/>
              </w:rPr>
              <w:t>5,892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Telephone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1,225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Other hotel operating</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4,487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20"/>
                <w:szCs w:val="20"/>
                <w:color w:val="auto"/>
              </w:rPr>
              <w:t>4,630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27,010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29,586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Franchise and marketing fees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23,620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2,920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rPr>
              <w:t>C</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20"/>
                <w:szCs w:val="20"/>
                <w:color w:val="auto"/>
              </w:rPr>
              <w:t>26,692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Advertising and promotions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6,966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Utilities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12,372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20"/>
                <w:szCs w:val="20"/>
                <w:color w:val="auto"/>
              </w:rPr>
              <w:t>13,374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Repairs and maintenance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15,272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16,124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Management fees paid to related parties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9,895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1,517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(563) </w:t>
            </w:r>
            <w:r>
              <w:rPr>
                <w:rFonts w:ascii="Times New Roman" w:cs="Times New Roman" w:eastAsia="Times New Roman" w:hAnsi="Times New Roman"/>
                <w:sz w:val="20"/>
                <w:szCs w:val="20"/>
                <w:b w:val="1"/>
                <w:bCs w:val="1"/>
                <w:color w:val="auto"/>
              </w:rPr>
              <w:t>D</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20"/>
                <w:szCs w:val="20"/>
                <w:color w:val="auto"/>
              </w:rPr>
              <w:t>10,849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Insurance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3,272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20"/>
                <w:szCs w:val="20"/>
                <w:color w:val="auto"/>
              </w:rPr>
              <w:t>3,272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CEEFF"/>
          </w:tcPr>
          <w:p>
            <w:pPr>
              <w:ind w:left="480"/>
              <w:spacing w:after="0" w:line="223" w:lineRule="exact"/>
              <w:rPr>
                <w:sz w:val="20"/>
                <w:szCs w:val="20"/>
                <w:color w:val="auto"/>
              </w:rPr>
            </w:pPr>
            <w:r>
              <w:rPr>
                <w:rFonts w:ascii="Times New Roman" w:cs="Times New Roman" w:eastAsia="Times New Roman" w:hAnsi="Times New Roman"/>
                <w:sz w:val="20"/>
                <w:szCs w:val="20"/>
                <w:color w:val="auto"/>
              </w:rPr>
              <w:t>Total hotel operating expenses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169,173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14,722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(411)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line="223" w:lineRule="exact"/>
              <w:rPr>
                <w:sz w:val="20"/>
                <w:szCs w:val="20"/>
                <w:color w:val="auto"/>
              </w:rPr>
            </w:pPr>
            <w:r>
              <w:rPr>
                <w:rFonts w:ascii="Times New Roman" w:cs="Times New Roman" w:eastAsia="Times New Roman" w:hAnsi="Times New Roman"/>
                <w:sz w:val="20"/>
                <w:szCs w:val="20"/>
                <w:color w:val="auto"/>
              </w:rPr>
              <w:t>183,484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59,749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2,459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1,569</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b w:val="1"/>
                <w:bCs w:val="1"/>
                <w:color w:val="auto"/>
              </w:rPr>
              <w:t>E</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20"/>
                <w:szCs w:val="20"/>
                <w:color w:val="auto"/>
              </w:rPr>
              <w:t>63,777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Property taxes, ground rent and insurance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21,952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23,012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16,589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20"/>
                <w:szCs w:val="20"/>
                <w:color w:val="auto"/>
              </w:rPr>
              <w:t>16,589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 charges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F</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537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Reimbursable costs from related parties</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1,078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20"/>
                <w:szCs w:val="20"/>
                <w:color w:val="auto"/>
              </w:rPr>
              <w:t>1,078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640"/>
              <w:spacing w:after="0" w:line="223" w:lineRule="exact"/>
              <w:rPr>
                <w:sz w:val="20"/>
                <w:szCs w:val="20"/>
                <w:color w:val="auto"/>
              </w:rPr>
            </w:pPr>
            <w:r>
              <w:rPr>
                <w:rFonts w:ascii="Times New Roman" w:cs="Times New Roman" w:eastAsia="Times New Roman" w:hAnsi="Times New Roman"/>
                <w:sz w:val="20"/>
                <w:szCs w:val="20"/>
                <w:color w:val="auto"/>
              </w:rPr>
              <w:t>Total operating expenses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268,568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18,241</w:t>
            </w:r>
          </w:p>
        </w:tc>
        <w:tc>
          <w:tcPr>
            <w:tcW w:w="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1,668</w:t>
            </w: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
              <w:spacing w:after="0" w:line="223" w:lineRule="exact"/>
              <w:rPr>
                <w:sz w:val="20"/>
                <w:szCs w:val="20"/>
                <w:color w:val="auto"/>
              </w:rPr>
            </w:pPr>
            <w:r>
              <w:rPr>
                <w:rFonts w:ascii="Times New Roman" w:cs="Times New Roman" w:eastAsia="Times New Roman" w:hAnsi="Times New Roman"/>
                <w:sz w:val="20"/>
                <w:szCs w:val="20"/>
                <w:color w:val="auto"/>
              </w:rPr>
              <w:t>288,477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32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Operating income before gain on sale of hotel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properties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26,507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(1,668)</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31,880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Gain on sale of hotel properties</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14,369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20"/>
                <w:szCs w:val="20"/>
                <w:color w:val="auto"/>
              </w:rPr>
              <w:t>14,369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Operating income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40,876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7,041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(1,668)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3"/>
              <w:spacing w:after="0" w:line="223" w:lineRule="exact"/>
              <w:rPr>
                <w:sz w:val="20"/>
                <w:szCs w:val="20"/>
                <w:color w:val="auto"/>
              </w:rPr>
            </w:pPr>
            <w:r>
              <w:rPr>
                <w:rFonts w:ascii="Times New Roman" w:cs="Times New Roman" w:eastAsia="Times New Roman" w:hAnsi="Times New Roman"/>
                <w:sz w:val="20"/>
                <w:szCs w:val="20"/>
                <w:color w:val="auto"/>
              </w:rPr>
              <w:t>46,249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Interest and other income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(508) </w:t>
            </w:r>
            <w:r>
              <w:rPr>
                <w:rFonts w:ascii="Times New Roman" w:cs="Times New Roman" w:eastAsia="Times New Roman" w:hAnsi="Times New Roman"/>
                <w:sz w:val="20"/>
                <w:szCs w:val="20"/>
                <w:b w:val="1"/>
                <w:bCs w:val="1"/>
                <w:color w:val="auto"/>
              </w:rPr>
              <w:t>G</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20"/>
                <w:szCs w:val="20"/>
                <w:color w:val="auto"/>
              </w:rPr>
              <w:t>270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20" w:type="dxa"/>
            <w:vAlign w:val="bottom"/>
          </w:tcPr>
          <w:p>
            <w:pPr>
              <w:ind w:left="160"/>
              <w:spacing w:after="0" w:line="207" w:lineRule="exact"/>
              <w:rPr>
                <w:sz w:val="20"/>
                <w:szCs w:val="20"/>
                <w:color w:val="auto"/>
              </w:rPr>
            </w:pPr>
            <w:r>
              <w:rPr>
                <w:rFonts w:ascii="Times New Roman" w:cs="Times New Roman" w:eastAsia="Times New Roman" w:hAnsi="Times New Roman"/>
                <w:sz w:val="20"/>
                <w:szCs w:val="20"/>
                <w:color w:val="auto"/>
                <w:w w:val="99"/>
              </w:rPr>
              <w:t>Interest expense, including amortization of deferred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 xml:space="preserve">(3,485) </w:t>
            </w:r>
            <w:r>
              <w:rPr>
                <w:rFonts w:ascii="Times New Roman" w:cs="Times New Roman" w:eastAsia="Times New Roman" w:hAnsi="Times New Roman"/>
                <w:sz w:val="20"/>
                <w:szCs w:val="20"/>
                <w:b w:val="1"/>
                <w:bCs w:val="1"/>
                <w:color w:val="auto"/>
              </w:rPr>
              <w:t>H</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fees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(30,834)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Loss on early extinguishment of debt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gridSpan w:val="2"/>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jc w:val="right"/>
              <w:ind w:right="43"/>
              <w:spacing w:after="0" w:line="68" w:lineRule="exact"/>
              <w:rPr>
                <w:sz w:val="20"/>
                <w:szCs w:val="20"/>
                <w:color w:val="auto"/>
              </w:rPr>
            </w:pPr>
            <w:r>
              <w:rPr>
                <w:rFonts w:ascii="Times New Roman" w:cs="Times New Roman" w:eastAsia="Times New Roman" w:hAnsi="Times New Roman"/>
                <w:sz w:val="7"/>
                <w:szCs w:val="7"/>
                <w:color w:val="auto"/>
              </w:rPr>
              <w:t>(174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Income before income tax expense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15,313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5,859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(5,661)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3"/>
              <w:spacing w:after="0" w:line="223" w:lineRule="exact"/>
              <w:rPr>
                <w:sz w:val="20"/>
                <w:szCs w:val="20"/>
                <w:color w:val="auto"/>
              </w:rPr>
            </w:pPr>
            <w:r>
              <w:rPr>
                <w:rFonts w:ascii="Times New Roman" w:cs="Times New Roman" w:eastAsia="Times New Roman" w:hAnsi="Times New Roman"/>
                <w:sz w:val="20"/>
                <w:szCs w:val="20"/>
                <w:color w:val="auto"/>
              </w:rPr>
              <w:t>15,511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Income tax expense</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Net income</w:t>
            </w:r>
          </w:p>
        </w:tc>
        <w:tc>
          <w:tcPr>
            <w:tcW w:w="2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15,313</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5,834</w:t>
            </w:r>
          </w:p>
        </w:tc>
        <w:tc>
          <w:tcPr>
            <w:tcW w:w="120" w:type="dxa"/>
            <w:vAlign w:val="bottom"/>
          </w:tcPr>
          <w:p>
            <w:pPr>
              <w:spacing w:after="0"/>
              <w:rPr>
                <w:sz w:val="19"/>
                <w:szCs w:val="19"/>
                <w:color w:val="auto"/>
              </w:rPr>
            </w:pPr>
          </w:p>
        </w:tc>
        <w:tc>
          <w:tcPr>
            <w:tcW w:w="1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(5,661)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43"/>
              <w:spacing w:after="0" w:line="223" w:lineRule="exact"/>
              <w:rPr>
                <w:sz w:val="20"/>
                <w:szCs w:val="20"/>
                <w:color w:val="auto"/>
              </w:rPr>
            </w:pPr>
            <w:r>
              <w:rPr>
                <w:rFonts w:ascii="Times New Roman" w:cs="Times New Roman" w:eastAsia="Times New Roman" w:hAnsi="Times New Roman"/>
                <w:sz w:val="20"/>
                <w:szCs w:val="20"/>
                <w:color w:val="auto"/>
              </w:rPr>
              <w:t>15,486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ind w:left="160"/>
              <w:spacing w:after="0" w:line="210" w:lineRule="exact"/>
              <w:rPr>
                <w:sz w:val="20"/>
                <w:szCs w:val="20"/>
                <w:color w:val="auto"/>
              </w:rPr>
            </w:pPr>
            <w:r>
              <w:rPr>
                <w:rFonts w:ascii="Times New Roman" w:cs="Times New Roman" w:eastAsia="Times New Roman" w:hAnsi="Times New Roman"/>
                <w:sz w:val="20"/>
                <w:szCs w:val="20"/>
                <w:color w:val="auto"/>
              </w:rPr>
              <w:t>Net income attributable to non-controlling interest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(260)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3"/>
              <w:spacing w:after="0" w:line="210" w:lineRule="exact"/>
              <w:rPr>
                <w:sz w:val="20"/>
                <w:szCs w:val="20"/>
                <w:color w:val="auto"/>
              </w:rPr>
            </w:pPr>
            <w:r>
              <w:rPr>
                <w:rFonts w:ascii="Times New Roman" w:cs="Times New Roman" w:eastAsia="Times New Roman" w:hAnsi="Times New Roman"/>
                <w:sz w:val="20"/>
                <w:szCs w:val="20"/>
                <w:color w:val="auto"/>
              </w:rPr>
              <w:t>(266)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Net income attributable to Chatham Lodging Trust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15,053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3"/>
              <w:spacing w:after="0" w:line="223" w:lineRule="exact"/>
              <w:rPr>
                <w:sz w:val="20"/>
                <w:szCs w:val="20"/>
                <w:color w:val="auto"/>
              </w:rPr>
            </w:pPr>
            <w:r>
              <w:rPr>
                <w:rFonts w:ascii="Times New Roman" w:cs="Times New Roman" w:eastAsia="Times New Roman" w:hAnsi="Times New Roman"/>
                <w:sz w:val="20"/>
                <w:szCs w:val="20"/>
                <w:color w:val="auto"/>
              </w:rPr>
              <w:t>15,220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Preferred dividends</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(7,950)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(7,950)</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Net income attributable to common shareholders</w:t>
            </w:r>
          </w:p>
        </w:tc>
        <w:tc>
          <w:tcPr>
            <w:tcW w:w="2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7,103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43"/>
              <w:spacing w:after="0" w:line="223" w:lineRule="exact"/>
              <w:rPr>
                <w:sz w:val="20"/>
                <w:szCs w:val="20"/>
                <w:color w:val="auto"/>
              </w:rPr>
            </w:pPr>
            <w:r>
              <w:rPr>
                <w:rFonts w:ascii="Times New Roman" w:cs="Times New Roman" w:eastAsia="Times New Roman" w:hAnsi="Times New Roman"/>
                <w:sz w:val="20"/>
                <w:szCs w:val="20"/>
                <w:color w:val="auto"/>
              </w:rPr>
              <w:t>7,270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0"/>
                <w:szCs w:val="20"/>
                <w:b w:val="1"/>
                <w:bCs w:val="1"/>
                <w:color w:val="auto"/>
              </w:rPr>
              <w:t>Income per common share - basic:</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attributable to common shareholders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0"/>
                <w:szCs w:val="20"/>
                <w:b w:val="1"/>
                <w:bCs w:val="1"/>
                <w:color w:val="auto"/>
              </w:rPr>
              <w:t>Income per common share - diluted:</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attributable to common shareholders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20"/>
                <w:szCs w:val="20"/>
                <w:b w:val="1"/>
                <w:bCs w:val="1"/>
                <w:color w:val="auto"/>
              </w:rPr>
              <w:t>Weighted average number of common shares</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Basic</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48,793,017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48,793,017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Diluted</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49,992,069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20"/>
                <w:szCs w:val="20"/>
                <w:color w:val="auto"/>
              </w:rPr>
              <w:t>49,992,069</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Distributions per common share: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0.36</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condensed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79375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880" w:top="815" w:right="899" w:bottom="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9"/>
          <w:szCs w:val="19"/>
          <w:b w:val="1"/>
          <w:bCs w:val="1"/>
          <w:color w:val="auto"/>
        </w:rPr>
        <w:t>NOTES TO UNAUDITED PRO FORMA CONDENSED CONSOLIDATED STATEMENT OF OPERATIONS FOR THE YEAR</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ENDED DECEMBER 31, 2025</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and per share data)</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 Audited historical results of operations of Chatham for the year ended December 31, 2025.</w:t>
      </w:r>
    </w:p>
    <w:p>
      <w:pPr>
        <w:spacing w:after="0" w:line="2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 Audited combined statement of operations of the Midwest Hotel Portfolio for the year ended December 31, 2025.</w:t>
      </w:r>
    </w:p>
    <w:p>
      <w:pPr>
        <w:spacing w:after="0" w:line="243" w:lineRule="exact"/>
        <w:rPr>
          <w:sz w:val="20"/>
          <w:szCs w:val="20"/>
          <w:color w:val="auto"/>
        </w:rPr>
      </w:pPr>
    </w:p>
    <w:p>
      <w:pPr>
        <w:ind w:left="340" w:right="420" w:hanging="229"/>
        <w:spacing w:after="0" w:line="269" w:lineRule="auto"/>
        <w:rPr>
          <w:sz w:val="20"/>
          <w:szCs w:val="20"/>
          <w:color w:val="auto"/>
        </w:rPr>
      </w:pPr>
      <w:r>
        <w:rPr>
          <w:rFonts w:ascii="Times New Roman" w:cs="Times New Roman" w:eastAsia="Times New Roman" w:hAnsi="Times New Roman"/>
          <w:sz w:val="20"/>
          <w:szCs w:val="20"/>
          <w:color w:val="auto"/>
        </w:rPr>
        <w:t>C. Reflects the increasing adjustment to franchise fees based on the newly acquired franchise agreement that will be payable on the Midwest Hotel Portfolio.</w:t>
      </w:r>
    </w:p>
    <w:p>
      <w:pPr>
        <w:spacing w:after="0" w:line="186" w:lineRule="exact"/>
        <w:rPr>
          <w:sz w:val="20"/>
          <w:szCs w:val="20"/>
          <w:color w:val="auto"/>
        </w:rPr>
      </w:pPr>
    </w:p>
    <w:p>
      <w:pPr>
        <w:ind w:left="340" w:right="380" w:hanging="229"/>
        <w:spacing w:after="0" w:line="254" w:lineRule="auto"/>
        <w:rPr>
          <w:sz w:val="20"/>
          <w:szCs w:val="20"/>
          <w:color w:val="auto"/>
        </w:rPr>
      </w:pPr>
      <w:r>
        <w:rPr>
          <w:rFonts w:ascii="Times New Roman" w:cs="Times New Roman" w:eastAsia="Times New Roman" w:hAnsi="Times New Roman"/>
          <w:sz w:val="20"/>
          <w:szCs w:val="20"/>
          <w:color w:val="auto"/>
        </w:rPr>
        <w:t>D. Reflects the adjustment to management fees for contractual differences related to the fees required to be paid under the old management agreements compared to the new management agreements. The Midwest Hotel Portfolio decreased from 6% to 3%. Accounting and management fees are as follows (in thousands):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252"/>
        </w:trPr>
        <w:tc>
          <w:tcPr>
            <w:tcW w:w="2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Hotel Property</w:t>
            </w:r>
          </w:p>
        </w:tc>
        <w:tc>
          <w:tcPr>
            <w:tcW w:w="3220" w:type="dxa"/>
            <w:vAlign w:val="bottom"/>
            <w:gridSpan w:val="3"/>
          </w:tcPr>
          <w:p>
            <w:pPr>
              <w:ind w:left="1080"/>
              <w:spacing w:after="0"/>
              <w:rPr>
                <w:sz w:val="20"/>
                <w:szCs w:val="20"/>
                <w:color w:val="auto"/>
              </w:rPr>
            </w:pPr>
            <w:r>
              <w:rPr>
                <w:rFonts w:ascii="Times New Roman" w:cs="Times New Roman" w:eastAsia="Times New Roman" w:hAnsi="Times New Roman"/>
                <w:sz w:val="20"/>
                <w:szCs w:val="20"/>
                <w:color w:val="auto"/>
              </w:rPr>
              <w:t>Description</w:t>
            </w: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New Fees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Old Fees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Adjustment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Hampton Inn &amp; Suites Paducah</w:t>
            </w:r>
          </w:p>
        </w:tc>
        <w:tc>
          <w:tcPr>
            <w:tcW w:w="3220" w:type="dxa"/>
            <w:vAlign w:val="bottom"/>
            <w:gridSpan w:val="3"/>
            <w:shd w:val="clear" w:color="auto" w:fill="CCEEFF"/>
          </w:tcPr>
          <w:p>
            <w:pPr>
              <w:ind w:left="200"/>
              <w:spacing w:after="0" w:line="223" w:lineRule="exact"/>
              <w:rPr>
                <w:sz w:val="20"/>
                <w:szCs w:val="20"/>
                <w:color w:val="auto"/>
              </w:rPr>
            </w:pPr>
            <w:r>
              <w:rPr>
                <w:rFonts w:ascii="Times New Roman" w:cs="Times New Roman" w:eastAsia="Times New Roman" w:hAnsi="Times New Roman"/>
                <w:sz w:val="20"/>
                <w:szCs w:val="20"/>
                <w:color w:val="auto"/>
              </w:rPr>
              <w:t>Management and accounting fees  $</w:t>
            </w:r>
          </w:p>
        </w:tc>
        <w:tc>
          <w:tcPr>
            <w:tcW w:w="1060" w:type="dxa"/>
            <w:vAlign w:val="bottom"/>
            <w:shd w:val="clear" w:color="auto" w:fill="CCEEF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164</w:t>
            </w:r>
          </w:p>
        </w:tc>
        <w:tc>
          <w:tcPr>
            <w:tcW w:w="340" w:type="dxa"/>
            <w:vAlign w:val="bottom"/>
            <w:gridSpan w:val="2"/>
            <w:shd w:val="clear" w:color="auto" w:fill="CCEEFF"/>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260</w:t>
            </w:r>
          </w:p>
        </w:tc>
        <w:tc>
          <w:tcPr>
            <w:tcW w:w="440" w:type="dxa"/>
            <w:vAlign w:val="bottom"/>
            <w:gridSpan w:val="2"/>
            <w:shd w:val="clear" w:color="auto" w:fill="CCEEFF"/>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Homewood Suites Paducah</w:t>
            </w:r>
          </w:p>
        </w:tc>
        <w:tc>
          <w:tcPr>
            <w:tcW w:w="32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Management and accounting fees</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Homewood Suites Joplin</w:t>
            </w:r>
          </w:p>
        </w:tc>
        <w:tc>
          <w:tcPr>
            <w:tcW w:w="3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Management and accounting fees</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174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283</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Home2 Suites Joplin</w:t>
            </w:r>
          </w:p>
        </w:tc>
        <w:tc>
          <w:tcPr>
            <w:tcW w:w="32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Management and accounting fees</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Hampton Inn &amp; Suites Effingham</w:t>
            </w:r>
          </w:p>
        </w:tc>
        <w:tc>
          <w:tcPr>
            <w:tcW w:w="3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Management and accounting fees</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148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232</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20"/>
                <w:szCs w:val="20"/>
                <w:color w:val="auto"/>
              </w:rPr>
              <w:t>Home2 Suites Effingham</w:t>
            </w: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Management and accounting fees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132</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203</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3220" w:type="dxa"/>
            <w:vAlign w:val="bottom"/>
            <w:gridSpan w:val="3"/>
            <w:shd w:val="clear" w:color="auto" w:fill="CCEEFF"/>
          </w:tcPr>
          <w:p>
            <w:pPr>
              <w:ind w:left="30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CCEEFF"/>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954</w:t>
            </w:r>
          </w:p>
        </w:tc>
        <w:tc>
          <w:tcPr>
            <w:tcW w:w="340" w:type="dxa"/>
            <w:vAlign w:val="bottom"/>
            <w:gridSpan w:val="2"/>
            <w:shd w:val="clear" w:color="auto" w:fill="CCEEFF"/>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CCEEF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1,517</w:t>
            </w:r>
          </w:p>
        </w:tc>
        <w:tc>
          <w:tcPr>
            <w:tcW w:w="440" w:type="dxa"/>
            <w:vAlign w:val="bottom"/>
            <w:gridSpan w:val="2"/>
            <w:shd w:val="clear" w:color="auto" w:fill="CCEEFF"/>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340" w:right="540" w:hanging="229"/>
        <w:spacing w:after="0" w:line="269" w:lineRule="auto"/>
        <w:rPr>
          <w:sz w:val="20"/>
          <w:szCs w:val="20"/>
          <w:color w:val="auto"/>
        </w:rPr>
      </w:pPr>
      <w:r>
        <w:rPr>
          <w:rFonts w:ascii="Times New Roman" w:cs="Times New Roman" w:eastAsia="Times New Roman" w:hAnsi="Times New Roman"/>
          <w:sz w:val="20"/>
          <w:szCs w:val="20"/>
          <w:color w:val="auto"/>
        </w:rPr>
        <w:t>E. Represents additional depreciation directly attributable to the fair value adjustment of the assets acquired of the Midwest Hotel Portfolio.</w:t>
      </w:r>
    </w:p>
    <w:p>
      <w:pPr>
        <w:spacing w:after="0" w:line="186" w:lineRule="exact"/>
        <w:rPr>
          <w:sz w:val="20"/>
          <w:szCs w:val="20"/>
          <w:color w:val="auto"/>
        </w:rPr>
      </w:pPr>
    </w:p>
    <w:p>
      <w:pPr>
        <w:ind w:left="340" w:hanging="235"/>
        <w:spacing w:after="0"/>
        <w:tabs>
          <w:tab w:leader="none" w:pos="3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audit fees directly attributable to the acquisition of the Midwest Hotel Portfolio.</w:t>
      </w:r>
    </w:p>
    <w:p>
      <w:pPr>
        <w:spacing w:after="0" w:line="242" w:lineRule="exact"/>
        <w:rPr>
          <w:rFonts w:ascii="Times New Roman" w:cs="Times New Roman" w:eastAsia="Times New Roman" w:hAnsi="Times New Roman"/>
          <w:sz w:val="20"/>
          <w:szCs w:val="20"/>
          <w:color w:val="auto"/>
        </w:rPr>
      </w:pPr>
    </w:p>
    <w:p>
      <w:pPr>
        <w:ind w:left="340" w:right="500" w:hanging="235"/>
        <w:spacing w:after="0" w:line="269" w:lineRule="auto"/>
        <w:tabs>
          <w:tab w:leader="none" w:pos="3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reduction of interest income attributable to the Midwest Hotel Portfolio as Chatham did not acquire cash or cash equivalents as part of the transaction.</w:t>
      </w:r>
    </w:p>
    <w:p>
      <w:pPr>
        <w:spacing w:after="0" w:line="186" w:lineRule="exact"/>
        <w:rPr>
          <w:rFonts w:ascii="Times New Roman" w:cs="Times New Roman" w:eastAsia="Times New Roman" w:hAnsi="Times New Roman"/>
          <w:sz w:val="20"/>
          <w:szCs w:val="20"/>
          <w:color w:val="auto"/>
        </w:rPr>
      </w:pPr>
    </w:p>
    <w:p>
      <w:pPr>
        <w:ind w:left="340" w:right="260" w:hanging="235"/>
        <w:spacing w:after="0" w:line="269" w:lineRule="auto"/>
        <w:tabs>
          <w:tab w:leader="none" w:pos="3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additional interest expense attributable to the $90.0 million (actual) borrowed on Chatham's unsecured revolving credit facility to complete the acquisition of the Midwest Hotel Portfolio.</w:t>
      </w:r>
    </w:p>
    <w:p>
      <w:pPr>
        <w:spacing w:after="0" w:line="18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6</w:t>
      </w:r>
    </w:p>
    <w:sectPr>
      <w:pgSz w:w="11900" w:h="16838" w:orient="portrait"/>
      <w:cols w:equalWidth="0" w:num="1">
        <w:col w:w="10920"/>
      </w:cols>
      <w:pgMar w:left="560" w:top="81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upperLetter"/>
      <w:start w:val="35"/>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upperLetter"/>
      <w:start w:val="61"/>
    </w:lvl>
    <w:lvl w:ilvl="1">
      <w:lvlJc w:val="left"/>
      <w:lvlText w:val="%2."/>
      <w:numFmt w:val="decimal"/>
      <w:start w:val="2"/>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decimal"/>
      <w:start w:val="4"/>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1."/>
      <w:numFmt w:val="decimal"/>
      <w:start w:val="6"/>
    </w:lvl>
  </w:abstractNum>
  <w:abstractNum w:abstractNumId="14">
    <w:nsid w:val="4E6AFB66"/>
    <w:multiLevelType w:val="hybridMultilevel"/>
    <w:lvl w:ilvl="0">
      <w:lvlJc w:val="left"/>
      <w:lvlText w:val="%1."/>
      <w:numFmt w:val="decimal"/>
      <w:start w:val="7"/>
    </w:lvl>
  </w:abstractNum>
  <w:abstractNum w:abstractNumId="15">
    <w:nsid w:val="25E45D32"/>
    <w:multiLevelType w:val="hybridMultilevel"/>
    <w:lvl w:ilvl="0">
      <w:lvlJc w:val="left"/>
      <w:lvlText w:val="%1."/>
      <w:numFmt w:val="decimal"/>
      <w:start w:val="8"/>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2026-05-06T15:56:18Z</dcterms:created>
  <dcterms:modified xsi:type="dcterms:W3CDTF">2026-05-06T15:56:18Z</dcterms:modified>
</cp:coreProperties>
</file>